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CUST-DOC-MATRIZ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Ley 21.719 → Features → User Stories → Tests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Matriz inicial con 20 requisitos de la Ley 21.719.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requisitos de seguridad: token blacklist, hash chain, IDOR.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Actualizada post-auditoría con hallazgos críticos.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DT-014/DT-015/DT-016/DT-017 añadidos, todos los P0 cerrados._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_OCI Object Storage (DT-OCI-01), Admin Asesor IA (DT-OCI-02), TC para fallback chain._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Trazabilidad requisitos legales</w:t>
      </w:r>
    </w:p>
    <w:p>
      <w:r>
        <w:rPr>
          <w:sz w:val="22"/>
        </w:rPr>
        <w:t>Todos los artículos de la Ley 21.719 relevantes para Custodio RAT Manager: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Artículo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Requisito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 relacionada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Artículo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Requisito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Feature relacionada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Consentimiento expreso (Art. 12)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US-CONS-01, US-CONS-02, CB-01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Gestión de brechas de seguridad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US-BRCH-01, DT-015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Política de transparencia pública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US-PUB-01, US-PUB-02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quater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Contratos con encargados del tratamiento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US-ENC-01 al US-ENC-04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Registro de Actividades de Tratamiento (RAT)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US-RAT-01 al US-RAT-07, DT-014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Evaluaciones de Impacto (EIPD)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US-EIPD-01, US-EIPD-02, CB-02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16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Datos sensibles requieren EIPD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US-EIPD-01, US-EIPD-02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17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Derechos ARCO (Acceso, Rectificación, Cancelación, Oposición)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US-ARCO-01 al US-ARCO-06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19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Medidas de seguridad técnicas y organizacionales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TF-01 al TF-12, S14 (pendiente)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Parcial</w:t>
            </w:r>
          </w:p>
        </w:tc>
      </w:tr>
    </w:tbl>
    <w:p>
      <w:pPr>
        <w:pStyle w:val="Heading1"/>
      </w:pPr>
      <w:r>
        <w:t>2. Hallazgos de auditoría → acción</w:t>
      </w:r>
    </w:p>
    <w:p>
      <w:r>
        <w:rPr>
          <w:sz w:val="22"/>
        </w:rPr>
        <w:t>_ traceability de los hallazgos de auditoría v1.3 y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Gravedad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Corrección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Descripción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Gravedad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Corrección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Commit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Token blacklist JTI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get_current_user consulta blacklist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IDOR en /companies/{id}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check_company_access en todas rutas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/companies/publico sin auth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auth requerida en endpoint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CSV injection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Sanitización con prefijo '_'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Rate limiting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slowapi en /auth/login 5/min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JWT expiry 24h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Expiry 480 min + refresh rotation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RAT cross-company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check con get_empresas_usuario()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usuario crea brechas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bloquea rol usuario en POST /brechas/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Sin /health endpoint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 implementados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consentimientos/eipd 500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get_user() → Depends(get_current_user)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6980187/43287c0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DT-OCI-01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Descarga archivo sin OCI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chain PAR→signed GET→BYTEA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57cbffc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 v1.4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DT-OCI-02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Gestión corpus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 Asesor endpoints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admin_asesor.py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 v1.4</w:t>
            </w:r>
          </w:p>
        </w:tc>
      </w:tr>
    </w:tbl>
    <w:p>
      <w:pPr>
        <w:pStyle w:val="Heading1"/>
      </w:pPr>
      <w:r>
        <w:t>3. Features → Tests</w:t>
      </w:r>
    </w:p>
    <w:p>
      <w:r>
        <w:rPr>
          <w:sz w:val="22"/>
        </w:rPr>
        <w:t>_Cobertura actual: ~25% (meta v1.4: 40%). Tests ejecutados: 215 pytest + ~65 E2E._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Tests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TF-01 Token blacklist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test_blacklist_*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TF-02 IDOR protection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test_idor_* + E2E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TF-03 CSV sanitization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test_csv_injection_*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TF-04 Hash chain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test_hash_chain_*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TF-05 Rate limiting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test_rate_limit_*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TF-08 RBAC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test_rbac_* + QA-RAT-03, QA-BRCH-02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TF-09 Router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test_consent_* + test_eipd_*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TF-10 /health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test_health_* + QA-SYS-01/02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TF-11 OCI Storage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QA-RAT-07, QA-RAT-08, QA-RAT-09 (fallback chain)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NEW v1.4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TF-12 Admin Asesor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QA-AS-01, QA-AS-02, QA-AS-03, QA-AS-04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NEW v1.4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S14 CSRF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C1 Encryption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R-MAT-01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bloquean compliance total Ley 21.719.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