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CUST-DOC-06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ARQUITECTURA DE SOFTWARE</w:t>
      </w:r>
    </w:p>
    <w:p>
      <w:pPr>
        <w:spacing w:after="480"/>
        <w:jc w:val="center"/>
      </w:pPr>
      <w:r>
        <w:rPr>
          <w:i/>
          <w:color w:val="2E74B5"/>
          <w:sz w:val="28"/>
        </w:rPr>
        <w:t>Diagramas C4, despliegue, secuencias y decisiones técnicas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v1.4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Creación inicial de la arquitectura.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Token blacklist LRU, hash chain en audit_log, patrón Repository, PII masking, optimización N+1.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_Token blacklist, IDOR protection, CSV sanitize, hash chain, PII masking._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_Beta Launch: /health endpoint (ADR-12), RBAC fixes DT-014/DT-015, router fixes CB-01/CB-02._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_OCI Object Storage con fallback chain (ADR-14), Admin Asesor IA (ADR-15), MiniMax M2.7._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Arquitectura de Software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rPr>
          <w:sz w:val="22"/>
        </w:rPr>
        <w:t>Custodio RAT Manager es una aplicación SaaS B2B para gestión del RAT (Ley 21.719). Arquitectura modular, multi-tenant, desplegada en Vercel con Neon PostgreSQL. Backend: FastAPI serverless. Frontend: Next.js 16 con App Router.</w:t>
      </w:r>
    </w:p>
    <w:p>
      <w:r>
        <w:rPr>
          <w:sz w:val="22"/>
        </w:rPr>
        <w:t>_En v1.4 se implementó: OCI Object Storage con fallback chain (PAR→signed GET→BYTEA), Admin Asesor IA para gestión del corpus, y soporte para MiniMax M2.7._</w:t>
      </w:r>
    </w:p>
    <w:p>
      <w:pPr>
        <w:pStyle w:val="Heading1"/>
      </w:pPr>
      <w:r>
        <w:t>2. Diagrama de contexto (C4 Nivel 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0878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context_-399647292556379393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87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i/>
          <w:color w:val="1F497D"/>
          <w:sz w:val="18"/>
        </w:rPr>
        <w:t xml:space="preserve">Figura 1 — </w:t>
      </w:r>
      <w:r>
        <w:rPr>
          <w:i/>
          <w:color w:val="404040"/>
          <w:sz w:val="18"/>
        </w:rPr>
        <w:t>Diagrama de contexto C4 Nivel 1: Custodio y sus interacciones externas.</w:t>
      </w:r>
    </w:p>
    <w:p>
      <w:pPr>
        <w:pStyle w:val="Heading1"/>
      </w:pPr>
      <w:r>
        <w:t>3. Diagrama de contenedores (C4 Nivel 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5248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container_-521673029008495204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524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i/>
          <w:color w:val="1F497D"/>
          <w:sz w:val="18"/>
        </w:rPr>
        <w:t xml:space="preserve">Figura 1 — </w:t>
      </w:r>
      <w:r>
        <w:rPr>
          <w:i/>
          <w:color w:val="404040"/>
          <w:sz w:val="18"/>
        </w:rPr>
        <w:t>Diagrama de contenedores C4 Nivel 2: contenedores principales con OCI.</w:t>
      </w:r>
    </w:p>
    <w:p>
      <w:pPr>
        <w:pStyle w:val="Heading1"/>
      </w:pPr>
      <w:r>
        <w:t>4. Componentes del backend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Capa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Paquete</w:t>
            </w:r>
          </w:p>
        </w:tc>
        <w:tc>
          <w:tcPr>
            <w:tcW w:type="dxa" w:w="6236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Responsabilidad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Modelos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app/models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Mapeo ORM SQLAlchemy de las entidades.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Schemas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app/schemas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Validación y serialización con Pydantic.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Repositories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app/repositories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  <w:u w:val="single"/>
              </w:rPr>
              <w:t>Patrón Repository: abstracción de acceso a datos con selectinload/joinedload.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Servicios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app/services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Lógica de negocio: CRUD, cálculos, integración IA, OCI storage.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Rutas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app/routes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  <w:u w:val="single"/>
              </w:rPr>
              <w:t>Endpoints HTTP, autorización, rate limiting, RBAC.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Core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app/core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Configuración, seguridad (JWT, bcrypt, blacklist), logging, limiter, OCI storage._</w:t>
            </w:r>
          </w:p>
        </w:tc>
      </w:tr>
    </w:tbl>
    <w:p>
      <w:pPr>
        <w:pStyle w:val="Heading2"/>
      </w:pPr>
      <w:r>
        <w:t>4.1 Routers del backend (app/routes/)</w:t>
      </w:r>
    </w:p>
    <w:p>
      <w:r>
        <w:rPr>
          <w:sz w:val="22"/>
        </w:rPr>
        <w:t>_Routers implementados en v1.4:_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Router</w:t>
            </w:r>
          </w:p>
        </w:tc>
        <w:tc>
          <w:tcPr>
            <w:tcW w:type="dxa" w:w="481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Responsabilidad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Endpoints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auth.py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Login, logout, refresh, users CRUD, password.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10 endpoints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companies.py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CRUD companies + /publico (auth requerida).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6 endpoints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rats.py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CRUD RATs, dashboard, sugerencias, auditoría, hash chain, archivo OCI.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  <w:u w:val="single"/>
              </w:rPr>
              <w:t>20 endpoints (incl. OCI fallback)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breaches.py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CRUD brechas, evaluación de riesgo.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6 endpoints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consentimientos.py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  <w:u w:val="single"/>
              </w:rPr>
              <w:t>Listar, crear, revocar consentimientos.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4 endpoints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eipd.py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  <w:u w:val="single"/>
              </w:rPr>
              <w:t>Listar, crear, actualizar EIPDs.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4 endpoints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tkt-solicitud-derecho.py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Tickets ARCO, notas, historial.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8 endpoints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feriados.py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CRUD feriados, upload CSV, export.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5 endpoints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ai.py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Chat IA contextual (MiniMax M2.7 / OpenAI).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1 endpoint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health.py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  <w:u w:val="single"/>
              </w:rPr>
              <w:t>GET /health, /health/db (sin auth).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2 endpoints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admin_asesor.py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  <w:u w:val="single"/>
              </w:rPr>
              <w:t>Indexar corpus, stats, eliminar chunks (solo superadmin).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  <w:u w:val="single"/>
              </w:rPr>
              <w:t>3 endpoints</w:t>
            </w:r>
          </w:p>
        </w:tc>
      </w:tr>
    </w:tbl>
    <w:p>
      <w:pPr>
        <w:pStyle w:val="Heading1"/>
      </w:pPr>
      <w:r>
        <w:t>5. Patrones y estilos arquitectónicos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Repository Pattern: </w:t>
      </w:r>
      <w:r>
        <w:rPr>
          <w:sz w:val="22"/>
        </w:rPr>
        <w:t>_Patrón Repository/Service sobre SQLAlchemy 2.0 (app/repositories/). selectinload para evitar N+1._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App Router (Next.js): </w:t>
      </w:r>
      <w:r>
        <w:rPr>
          <w:sz w:val="22"/>
        </w:rPr>
        <w:t>App Router de Next.js 16 con grupos de rutas: '(app)' agrupa rutas autenticadas.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Single Source of Truth: </w:t>
      </w:r>
      <w:r>
        <w:rPr>
          <w:sz w:val="22"/>
        </w:rPr>
        <w:t>Estado global con AppContext (usuario, empresa activa).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Token Blacklist: </w:t>
      </w:r>
      <w:r>
        <w:rPr>
          <w:sz w:val="22"/>
        </w:rPr>
        <w:t>_Token blacklist LRU (1000 slots) en get_current_user. JTI consultado en cada request._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Audit Hash Chain: </w:t>
      </w:r>
      <w:r>
        <w:rPr>
          <w:sz w:val="22"/>
        </w:rPr>
        <w:t>_Hash chain SHA256 en audit_log: prev_hash + SHA256(timestamp+usuario+accion+entidad+detalle)._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PII Masking: </w:t>
      </w:r>
      <w:r>
        <w:rPr>
          <w:sz w:val="22"/>
        </w:rPr>
        <w:t>_PIIMaskingFilter en logging_config.py: mask email, RUT, IP, tokens, passwords._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RBAC: </w:t>
      </w:r>
      <w:r>
        <w:rPr>
          <w:sz w:val="22"/>
        </w:rPr>
        <w:t>_RBAC: admin_empresa solo crea RATs en empresas asignadas (DT-014, 6209e2d). usuario no crea brechas (DT-015, 6209e2d)._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OCI Storage: </w:t>
      </w:r>
      <w:r>
        <w:rPr>
          <w:sz w:val="22"/>
        </w:rPr>
        <w:t>_OCI Object Storage con fallback chain: PAR → signed GET → BYTEA (57cbffc)._</w:t>
      </w:r>
    </w:p>
    <w:p>
      <w:pPr>
        <w:pStyle w:val="Heading1"/>
      </w:pPr>
      <w:r>
        <w:t>6. Decisiones técnicas relevantes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Decisión</w:t>
            </w:r>
          </w:p>
        </w:tc>
        <w:tc>
          <w:tcPr>
            <w:tcW w:type="dxa" w:w="6066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Justificación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ADR-01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Next.js 16 + React 19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Rendimiento, ecosistema, despliegue directo a Vercel, TypeScript.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ADR-02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FastAPI sobre Flask o Django REST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Tipado nativo, async/await, OpenAPI automático, Pydantic.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ADR-03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SQLAlchemy 2.0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Madurez, soporte Postgres, migraciones simples.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ADR-04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Neon PostgreSQL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Compatibilidad Vercel, plan gratuito, branching, AES-256.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ADR-05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  <w:u w:val="single"/>
              </w:rPr>
              <w:t>OCI Object Storage para binarios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Almacenamiento en OCI con fallback a BYTEA. bucket custodio-documents-qa.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ADR-06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JWT 8h + blacklist LRU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Balance seguridad/UX. Blacklist permite logout efectivo.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ADR-07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Rate limiting con slowapi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Mitigación de fuerza bruta y abuso.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ADR-08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Mermaid pre-renderizado a PNG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Word no soporta Mermaid runtime.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ADR-09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Audit log con hash chain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Inmutabilidad del registro de auditoría.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ADR-10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Patrón Repository (app/repositories/)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Abstracción de acceso a datos; selectinload evitan N+1.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ADR-11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PIIMaskingFilter en logging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Mask email, RUT, IP, tokens y contraseñas.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ADR-12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  <w:u w:val="single"/>
              </w:rPr>
              <w:t>GET /health y /health/db endpoints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Health checks sin auth para monitoreo. /health stateless, /health/db prueba DB.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ADR-13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  <w:u w:val="single"/>
              </w:rPr>
              <w:t>RBAC: admin_empresa RAT + usuario breach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DT-014: get_empresas_usuario() en POST /rats/. DT-015: validación de rol en POST /brechas/.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ADR-14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  <w:u w:val="single"/>
              </w:rPr>
              <w:t>OCI Object Storage con fallback chain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PAR → signed GET → BYTEA. OCISigner para firma RSA. copy_to_archive antes de delete.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ADR-15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  <w:u w:val="single"/>
              </w:rPr>
              <w:t>Admin Asesor IA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POST /admin/asesor/index, GET /admin/asesor/stats, DELETE /admin/asesor/documents/{id}. Solo superadmin.</w:t>
            </w:r>
          </w:p>
        </w:tc>
      </w:tr>
    </w:tbl>
    <w:p>
      <w:pPr>
        <w:pStyle w:val="Heading1"/>
      </w:pPr>
      <w:r>
        <w:t>7. Diagrama de despliegue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2756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_-140991472327954459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275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i/>
          <w:color w:val="1F497D"/>
          <w:sz w:val="18"/>
        </w:rPr>
        <w:t xml:space="preserve">Figura 1 — </w:t>
      </w:r>
      <w:r>
        <w:rPr>
          <w:i/>
          <w:color w:val="404040"/>
          <w:sz w:val="18"/>
        </w:rPr>
        <w:t>Topología de despliegue: Vercel (FE+API), Neon (PostgreSQL), OCI (Object Storage).</w:t>
      </w:r>
    </w:p>
    <w:p>
      <w:pPr>
        <w:pStyle w:val="Heading1"/>
      </w:pPr>
      <w:r>
        <w:t>8. Diagramas de secuencia</w:t>
      </w:r>
    </w:p>
    <w:p>
      <w:pPr>
        <w:pStyle w:val="Heading2"/>
      </w:pPr>
      <w:r>
        <w:t>8.1 Login con blacklist check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056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login_-377891220150443963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5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i/>
          <w:color w:val="1F497D"/>
          <w:sz w:val="18"/>
        </w:rPr>
        <w:t xml:space="preserve">Figura 1 — </w:t>
      </w:r>
      <w:r>
        <w:rPr>
          <w:i/>
          <w:color w:val="404040"/>
          <w:sz w:val="18"/>
        </w:rPr>
        <w:t>Secuencia de login con rate limiting y JWT.</w:t>
      </w:r>
    </w:p>
    <w:p>
      <w:pPr>
        <w:pStyle w:val="Heading2"/>
      </w:pPr>
      <w:r>
        <w:t>8.2 OCI Storage Fallback Chain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78090" cy="45719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oci_-685916887285460412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8090" cy="457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i/>
          <w:color w:val="1F497D"/>
          <w:sz w:val="18"/>
        </w:rPr>
        <w:t xml:space="preserve">Figura 1 — </w:t>
      </w:r>
      <w:r>
        <w:rPr>
          <w:i/>
          <w:color w:val="404040"/>
          <w:sz w:val="18"/>
        </w:rPr>
        <w:t>_Secuencia OCI fallback chain: PAR → signed GET → BYTEA._</w:t>
      </w:r>
    </w:p>
    <w:p>
      <w:pPr>
        <w:pStyle w:val="Heading1"/>
      </w:pPr>
      <w:r>
        <w:t>9. Stack tecnológico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Capa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Tecnología</w:t>
            </w:r>
          </w:p>
        </w:tc>
        <w:tc>
          <w:tcPr>
            <w:tcW w:type="dxa" w:w="5386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Propósito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Next.js 16.2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Framework React con App Router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React 19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UI declarativa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TypeScript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Tipado estático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Tailwind CSS v4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Estilos utility-first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Sonner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Notificaciones tipo toast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React Hook Form + Zod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Formularios y validación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Backend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FastAPI 0.115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Framework web async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Backend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Uvicorn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Servidor ASGI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Backend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SQLAlchemy 2.0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ORM con selectinload/joinedload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Backend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Pydantic 2.10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Validación y serialización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Backend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python-jose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Tokens JWT (HS256)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Backend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passlib + bcrypt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Hashing de contraseñas (12 rounds)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Backend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ReportLab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Generación PDF servidor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Backend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slowapi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Rate limiting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Backend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cachetools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  <w:u w:val="single"/>
              </w:rPr>
              <w:t>LRU cache para token blacklist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Backend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  <w:u w:val="single"/>
              </w:rPr>
              <w:t>OCI SDK (custom)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  <w:u w:val="single"/>
              </w:rPr>
              <w:t>OCI Object Storage con OCISigner (RSA SHA256)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Infraestructura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Vercel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Serverless Functions y hosting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Infraestructura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Neon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PostgreSQL administrado con AES-256 at rest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Infraestructura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  <w:u w:val="single"/>
              </w:rPr>
              <w:t>OCI Object Storage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  <w:u w:val="single"/>
              </w:rPr>
              <w:t>Almacenamiento de documentos con bucket archive</w:t>
            </w:r>
          </w:p>
        </w:tc>
      </w:tr>
    </w:tbl>
    <w:p>
      <w:pPr>
        <w:pStyle w:val="Heading1"/>
      </w:pPr>
      <w:r>
        <w:t>10. Consideraciones de seguridad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Contraseñas: </w:t>
      </w:r>
      <w:r>
        <w:rPr>
          <w:sz w:val="22"/>
        </w:rPr>
        <w:t>Contraseñas hasheadas con bcrypt $2b$12$ (12 rounds).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Tokens: </w:t>
      </w:r>
      <w:r>
        <w:rPr>
          <w:sz w:val="22"/>
        </w:rPr>
        <w:t>Tokens JWT con expiración 8h, HS256. JTI único por token.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Token Blacklist: </w:t>
      </w:r>
      <w:r>
        <w:rPr>
          <w:sz w:val="22"/>
        </w:rPr>
        <w:t>_Token blacklist LRU (1000 slots): cada logout agrega JTI. get_current_user consulta blacklist._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Cookies: </w:t>
      </w:r>
      <w:r>
        <w:rPr>
          <w:sz w:val="22"/>
        </w:rPr>
        <w:t>Cookies httpOnly y Secure en producción.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Rate limiting: </w:t>
      </w:r>
      <w:r>
        <w:rPr>
          <w:sz w:val="22"/>
        </w:rPr>
        <w:t>Rate limiting: 5/min login, 5/min password, 3/hora ARCO, 10/min logout.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CORS: </w:t>
      </w:r>
      <w:r>
        <w:rPr>
          <w:sz w:val="22"/>
        </w:rPr>
        <w:t>CORS estricto: regex 'https://.*\.vercel\.app'.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Aislamiento: </w:t>
      </w:r>
      <w:r>
        <w:rPr>
          <w:sz w:val="22"/>
        </w:rPr>
        <w:t>_IDOR protection: check_company_access en todos los endpoints con company_id._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RBAC RAT: </w:t>
      </w:r>
      <w:r>
        <w:rPr>
          <w:sz w:val="22"/>
        </w:rPr>
        <w:t>_RBAC: admin_empresa solo crea RATs en empresas asignadas (DT-014)._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RBAC Breach: </w:t>
      </w:r>
      <w:r>
        <w:rPr>
          <w:sz w:val="22"/>
        </w:rPr>
        <w:t>_RBAC: rol usuario no puede crear brechas (DT-015). Retorna 403._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CSV injection: </w:t>
      </w:r>
      <w:r>
        <w:rPr>
          <w:sz w:val="22"/>
        </w:rPr>
        <w:t>_CSV sanitization: apostrophe en =, +, -, @._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PII en logs: </w:t>
      </w:r>
      <w:r>
        <w:rPr>
          <w:sz w:val="22"/>
        </w:rPr>
        <w:t>_PII masking en todos los logs._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Audit inmutable: </w:t>
      </w:r>
      <w:r>
        <w:rPr>
          <w:sz w:val="22"/>
        </w:rPr>
        <w:t>_Audit log con hash chain SHA256._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OCI Storage: </w:t>
      </w:r>
      <w:r>
        <w:rPr>
          <w:sz w:val="22"/>
        </w:rPr>
        <w:t>_OCI firmados con RSA SHA256 (OCISigner). No se exponen credenciales en cliente._</w:t>
      </w:r>
    </w:p>
    <w:p>
      <w:pPr>
        <w:pStyle w:val="Heading1"/>
      </w:pPr>
      <w:r>
        <w:t>11. Modelo de datos simplificado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4896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model_-750929460018029853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9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i/>
          <w:color w:val="1F497D"/>
          <w:sz w:val="18"/>
        </w:rPr>
        <w:t xml:space="preserve">Figura 1 — </w:t>
      </w:r>
      <w:r>
        <w:rPr>
          <w:i/>
          <w:color w:val="404040"/>
          <w:sz w:val="18"/>
        </w:rPr>
        <w:t>Diagrama ER: entidades principales y relaciones (v1.4 con OCI y AsesorChunk).</w:t>
      </w:r>
    </w:p>
    <w:p>
      <w:pPr>
        <w:pStyle w:val="Heading1"/>
      </w:pPr>
      <w:r>
        <w:t>Apéndice A — Vacíos de información</w:t>
      </w:r>
    </w:p>
    <w:p>
      <w:r>
        <w:rPr>
          <w:i/>
          <w:sz w:val="22"/>
        </w:rPr>
        <w:t>Las siguientes preguntas quedan abiertas al equipo de producto o al Product Owner para ser resueltas en próximas iteraciones:</w:t>
      </w:r>
    </w:p>
    <w:p>
      <w:pPr>
        <w:pStyle w:val="ListBullet"/>
        <w:spacing w:after="40"/>
        <w:ind w:left="340"/>
      </w:pPr>
      <w:r>
        <w:rPr>
          <w:sz w:val="22"/>
        </w:rPr>
        <w:t>¿Migrar de BYTEA a S3/R2 para archivos adjuntos en V2?</w:t>
      </w:r>
    </w:p>
    <w:p>
      <w:pPr>
        <w:pStyle w:val="ListBullet"/>
        <w:spacing w:after="40"/>
        <w:ind w:left="340"/>
      </w:pPr>
      <w:r>
        <w:rPr>
          <w:sz w:val="22"/>
        </w:rPr>
        <w:t>¿Implementar WAF dedicado (Cloudflare) en producción?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R-AR-01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Regex CORS 'https://.*\.vercel\.app' permite cualquier subdominio Vercel. Mitigación: lista blanca explícita en V2.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R-AR-02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Serverless cold starts: latencia 1-2s. Mitigación: min-instances en Vercel Pro.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R-AR-03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Pendientes: CSRF (S14), encryption at rest (C1). Bloquean compliance total.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R-AR-04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_PAR IAM permission no disponible. Signed GET requiere 'manage objects' en OCI._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Bajo</w:t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C4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Conjunto de modelos C4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Notación de diagramas de arquitectura por Simon Brown.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ADR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Architecture Decision Record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Documento que captura una decisión arquitectónica significativa.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JWT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JSON Web Token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Token de autenticación firmado digitalmente.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JTI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JWT ID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Identificador único del token usado para blacklist.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PAR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Pre-Authenticated Request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URL pre-firmada para acceso directo a OCI sin autenticación.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Arquitectura de Software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Arquitectura de Software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v1.4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