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CUST-DOC-MATRIZ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MATRIZ DE TRAZABILIDAD</w:t>
      </w:r>
    </w:p>
    <w:p>
      <w:pPr>
        <w:spacing w:after="480"/>
        <w:jc w:val="center"/>
      </w:pPr>
      <w:r>
        <w:rPr>
          <w:i/>
          <w:color w:val="2E74B5"/>
          <w:sz w:val="28"/>
        </w:rPr>
        <w:t>Requisitos Ley 21.719 → Features → User Stories → Tests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v1.4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Matriz inicial con 20 requisitos de la Ley 21.719.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Agregados requisitos de seguridad: token blacklist, hash chain, IDOR.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Actualizada post-auditoría con hallazgos críticos.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_Beta Launch: DT-014/DT-015/DT-016/DT-017 añadidos, todos los P0 cerrados._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1.4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_OCI Object Storage (DT-OCI-01), Admin Asesor IA (DT-OCI-02), TC para fallback chain._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Matriz de Trazabilidad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Trazabilidad requisitos legales</w:t>
      </w:r>
    </w:p>
    <w:p>
      <w:r>
        <w:rPr>
          <w:sz w:val="22"/>
        </w:rPr>
        <w:t>Todos los artículos de la Ley 21.719 relevantes para Custodio RAT Manager: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Artículo</w:t>
            </w:r>
          </w:p>
        </w:tc>
        <w:tc>
          <w:tcPr>
            <w:tcW w:type="dxa" w:w="311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Requisito</w:t>
            </w:r>
          </w:p>
        </w:tc>
        <w:tc>
          <w:tcPr>
            <w:tcW w:type="dxa" w:w="311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Feature relacionada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Artículo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Requisito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Feature relacionada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Estado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Art. 12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Consentimiento expreso (Art. 12)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US-CONS-01, US-CONS-02, CB-01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  <w:u w:val="single"/>
              </w:rPr>
              <w:t>CERRADO v1.3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Art. 14 bis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Gestión de brechas de seguridad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US-BRCH-01, DT-015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  <w:u w:val="single"/>
              </w:rPr>
              <w:t>CERRADO v1.3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Art. 14 ter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Política de transparencia pública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US-PUB-01, US-PUB-02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Art. 14 quater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Contratos con encargados del tratamiento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US-ENC-01 al US-ENC-04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Art. 15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Registro de Actividades de Tratamiento (RAT)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US-RAT-01 al US-RAT-07, DT-014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  <w:u w:val="single"/>
              </w:rPr>
              <w:t>CERRADO v1.3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Art. 15 bis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Evaluaciones de Impacto (EIPD)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US-EIPD-01, US-EIPD-02, CB-02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  <w:u w:val="single"/>
              </w:rPr>
              <w:t>CERRADO v1.3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Art. 16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Datos sensibles requieren EIPD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US-EIPD-01, US-EIPD-02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Art. 17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Derechos ARCO (Acceso, Rectificación, Cancelación, Oposición)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US-ARCO-01 al US-ARCO-06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Art. 19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Medidas de seguridad técnicas y organizacionales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TF-01 al TF-12, S14 (pendiente)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Parcial</w:t>
            </w:r>
          </w:p>
        </w:tc>
      </w:tr>
    </w:tbl>
    <w:p>
      <w:pPr>
        <w:pStyle w:val="Heading1"/>
      </w:pPr>
      <w:r>
        <w:t>2. Hallazgos de auditoría → acción</w:t>
      </w:r>
    </w:p>
    <w:p>
      <w:r>
        <w:rPr>
          <w:sz w:val="22"/>
        </w:rPr>
        <w:t>_ traceability de los hallazgos de auditoría v1.3 y v1.4:_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Gravedad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Corrección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Commit</w:t>
            </w:r>
          </w:p>
        </w:tc>
        <w:tc>
          <w:tcPr>
            <w:tcW w:type="dxa" w:w="124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Descripción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Gravedad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Corrección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Commit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sz w:val="20"/>
              </w:rPr>
              <w:t>Estado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R-API-03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Token blacklist JTI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get_current_user consulta blacklist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96167b5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sz w:val="20"/>
                <w:u w:val="single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R-API-04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IDOR en /companies/{id}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check_company_access en todas rutas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96167b5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sz w:val="20"/>
                <w:u w:val="single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R-API-05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/companies/publico sin auth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auth requerida en endpoint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96167b5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sz w:val="20"/>
                <w:u w:val="single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R-API-06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CSV injection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Sanitización con prefijo '_'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96167b5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sz w:val="20"/>
                <w:u w:val="single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R-API-07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Rate limiting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slowapi en /auth/login 5/min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96167b5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sz w:val="20"/>
                <w:u w:val="single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R-API-08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JWT expiry 24h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Expiry 480 min + refresh rotation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96167b5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sz w:val="20"/>
                <w:u w:val="single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DT-014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admin_empresa RAT cross-company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RBAC check con get_empresas_usuario()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6209e2d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sz w:val="20"/>
                <w:u w:val="single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DT-015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usuario crea brechas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RBAC bloquea rol usuario en POST /brechas/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6209e2d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sz w:val="20"/>
                <w:u w:val="single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DT-016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Sin /health endpoint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GET /health y /health/db implementados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6209e2d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sz w:val="20"/>
                <w:u w:val="single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DT-017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consentimientos/eipd 500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get_user() → Depends(get_current_user)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6980187/43287c0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sz w:val="20"/>
                <w:u w:val="single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DT-OCI-01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Descarga archivo sin OCI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Fallback chain PAR→signed GET→BYTEA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57cbffc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sz w:val="20"/>
                <w:u w:val="single"/>
              </w:rPr>
              <w:t>CERRADO v1.4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DT-OCI-02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Gestión corpus asesor 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Admin Asesor endpoints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admin_asesor.py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sz w:val="20"/>
                <w:u w:val="single"/>
              </w:rPr>
              <w:t>CERRADO v1.4</w:t>
            </w:r>
          </w:p>
        </w:tc>
      </w:tr>
    </w:tbl>
    <w:p>
      <w:pPr>
        <w:pStyle w:val="Heading1"/>
      </w:pPr>
      <w:r>
        <w:t>3. Features → Tests</w:t>
      </w:r>
    </w:p>
    <w:p>
      <w:r>
        <w:rPr>
          <w:sz w:val="22"/>
        </w:rPr>
        <w:t>_Cobertura actual: ~25% (meta v1.4: 40%). Tests ejecutados: 215 pytest + ~65 E2E._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Feature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Tests</w:t>
            </w:r>
          </w:p>
        </w:tc>
        <w:tc>
          <w:tcPr>
            <w:tcW w:type="dxa" w:w="170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Resultado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TF-01 Token blacklist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pytest: test_blacklist_*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215 passed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OK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TF-02 IDOR protection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pytest: test_idor_* + E2E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215 passed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OK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TF-03 CSV sanitization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pytest: test_csv_injection_*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215 passed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OK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TF-04 Hash chain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pytest: test_hash_chain_*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215 passed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OK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TF-05 Rate limiting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pytest: test_rate_limit_*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215 passed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OK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TF-08 RBAC fixes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  <w:u w:val="single"/>
              </w:rPr>
              <w:t>pytest: test_rbac_* + QA-RAT-03, QA-BRCH-02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215 passed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OK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TF-09 Router fixes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  <w:u w:val="single"/>
              </w:rPr>
              <w:t>pytest: test_consent_* + test_eipd_*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215 passed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OK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TF-10 /health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  <w:u w:val="single"/>
              </w:rPr>
              <w:t>pytest: test_health_* + QA-SYS-01/02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215 passed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OK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TF-11 OCI Storage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  <w:u w:val="single"/>
              </w:rPr>
              <w:t>QA-RAT-07, QA-RAT-08, QA-RAT-09 (fallback chain)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NEW v1.4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OK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TF-12 Admin Asesor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  <w:u w:val="single"/>
              </w:rPr>
              <w:t>QA-AS-01, QA-AS-02, QA-AS-03, QA-AS-04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NEW v1.4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OK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S14 CSRF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Pendiente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0 tests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PENDIENTE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C1 Encryption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Pendiente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0 tests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PENDIENTE</w:t>
            </w:r>
          </w:p>
        </w:tc>
      </w:tr>
    </w:tbl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R-MAT-01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Pendientes S14 y C1 bloquean compliance total Ley 21.719.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Matriz de Trazabilidad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Matriz de Trazabilidad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v1.4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