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ÍNDICE MAESTRO DE DOCUMENTACIÓN</w:t>
      </w:r>
    </w:p>
    <w:p>
      <w:pPr>
        <w:spacing w:after="480"/>
        <w:jc w:val="center"/>
      </w:pPr>
      <w:r>
        <w:rPr>
          <w:i/>
          <w:color w:val="2E74B5"/>
          <w:sz w:val="28"/>
        </w:rPr>
        <w:t>Conjunto documental de Custodio RAT Manager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índice maestro.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Auditoría técnica: se confirma la estructura de 14 artefactos. El código implementa módulos nuevos no reflejados en el inventario (Consentimientos, Tickets ARCO, RATs Sugeridos, IA) que serán documentados en sus respectivos documentos.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Índice Maestro de Documentación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Presentación del conjunto documental</w:t>
      </w:r>
    </w:p>
    <w:p>
      <w:r>
        <w:rPr>
          <w:sz w:val="22"/>
        </w:rPr>
        <w:t>Custodio RAT Manager es el sistema de gestión del Registro de Actividades de Tratamiento (RAT) diseñado para que las organizaciones chilenas cumplan con la Ley N.° 21.719 de Protección de Datos Personales, cuya entrada en vigencia general está fijada para el 1 de diciembre de 2026.</w:t>
      </w:r>
    </w:p>
    <w:p>
      <w:r>
        <w:rPr>
          <w:sz w:val="22"/>
        </w:rPr>
        <w:t>El presente conjunto documental ha sido generado con el objetivo de documentar de manera profesional, trazable y alineada con buenas prácticas de ingeniería de software, un producto que actualmente cuenta con un MVP funcional.</w:t>
      </w:r>
    </w:p>
    <w:p>
      <w:pPr>
        <w:pBdr>
          <w:top w:val="single" w:sz="16" w:space="4" w:color="2E74B5"/>
          <w:left w:val="single" w:sz="16" w:space="4" w:color="2E74B5"/>
          <w:bottom w:val="single" w:sz="16" w:space="4" w:color="2E74B5"/>
          <w:right w:val="single" w:sz="16" w:space="4" w:color="2E74B5"/>
        </w:pBdr>
        <w:shd w:val="clear" w:color="auto" w:fill="F2F7FC"/>
        <w:spacing w:before="80" w:after="80"/>
        <w:ind w:left="113" w:right="113"/>
      </w:pPr>
      <w:r>
        <w:rPr>
          <w:b/>
          <w:color w:val="1F497D"/>
          <w:sz w:val="20"/>
        </w:rPr>
        <w:t xml:space="preserve">ℹ  Alcance del índice.  </w:t>
      </w:r>
      <w:r>
        <w:rPr>
          <w:color w:val="404040"/>
          <w:sz w:val="20"/>
        </w:rPr>
        <w:t>Este documento lista los 14 artefactos que componen la documentación oficial. Cada artefacto se entrega como archivo Word (.docx) independiente, con estructura común: portada, control de versiones, tabla de contenido, cuerpo numerado, y tres apéndices finales (vacíos de información, riesgos e índice de identificadores).</w:t>
      </w:r>
    </w:p>
    <w:p>
      <w:pPr>
        <w:pStyle w:val="Heading1"/>
      </w:pPr>
      <w:r>
        <w:t>2. Inventario de documentos</w:t>
      </w:r>
    </w:p>
    <w:p>
      <w:r>
        <w:rPr>
          <w:sz w:val="22"/>
        </w:rPr>
        <w:t>El conjunto documental está compuesto por los siguientes artefactos: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#</w:t>
            </w:r>
          </w:p>
        </w:tc>
        <w:tc>
          <w:tcPr>
            <w:tcW w:type="dxa" w:w="147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Documento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Contenido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Audiencia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00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Índice Maestro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Este documento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Visión del Producto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Problema, propuesta de valor, alcance y riesgos de negocio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Stakeholders, dirección, marketing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Levantamiento de Requisitos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RF y RNF derivados del código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arquitectura,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Historias de Usuario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Backlog priorizado por rol y valor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desarrollo,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Casos de Uso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Formato formal: actores, precondiciones, flujos principal y alternativo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QA,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Diseño Funcional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Mapa de módulos, navegación y reglas de negocio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UX,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Arquitectura de Software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Diagramas C4, despliegue, secuencia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Arquitectura, desarrollo, operaciones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Modelo de Datos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Entidades, relaciones, diccionario de datos (ER Mermaid)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datos, arquitectura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Documentación de APIs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Catálogo completo de endpoints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integradores,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Backlog del Producto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MVP actual, V1, V2, roadmap trimestral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dirección,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Plan de QA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Estrategia, casos de prueba, cobertura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QA, desarrollo, producto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Manual de Despliegue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Local, producción, migraciones, troubleshooting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Operaciones, DevOps,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Manual Técnico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Estructura del código, convenciones, patrones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mantenedores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CUST-DOC-MTX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Matriz de Trazabilidad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RF ↔ HU ↔ CU ↔ TC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QA, arquitectura</w:t>
            </w:r>
          </w:p>
        </w:tc>
      </w:tr>
    </w:tbl>
    <w:p>
      <w:pPr>
        <w:pStyle w:val="Heading1"/>
      </w:pPr>
      <w:r>
        <w:t>3. Convenciones comunes a todos los documentos</w:t>
      </w:r>
    </w:p>
    <w:p>
      <w:r>
        <w:rPr>
          <w:sz w:val="22"/>
        </w:rPr>
        <w:t>Todos los documentos del conjunto comparten las siguientes convenciones: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Identificadores: </w:t>
      </w:r>
      <w:r>
        <w:rPr>
          <w:sz w:val="22"/>
        </w:rPr>
        <w:t>Identificadores únicos con prefijo: RF-### (requisitos funcionales), RNF-### (no funcionales), HU-### (historias de usuario), CU-### (casos de uso), TC-### (casos de prueba).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Encabezado y pie: </w:t>
      </w:r>
      <w:r>
        <w:rPr>
          <w:sz w:val="22"/>
        </w:rPr>
        <w:t>Encabezado con isotipo '▣ CUSTODIO', nombre del documento y versión; pie de página con paginación 'Página X de Y' y clasificación 'Interno — Confidencial'.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Bloques visuales: </w:t>
      </w:r>
      <w:r>
        <w:rPr>
          <w:sz w:val="22"/>
        </w:rPr>
        <w:t>Bloques visuales diferenciados para Nota (azul), Advertencia (amarillo) y Riesgo (rojo).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Tablas: </w:t>
      </w:r>
      <w:r>
        <w:rPr>
          <w:sz w:val="22"/>
        </w:rPr>
        <w:t>Tablas con estilo 'Table Grid', cabecera sombreada (#D9E2F3) y tipografía Calibri 10–11pt.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Diagramas: </w:t>
      </w:r>
      <w:r>
        <w:rPr>
          <w:sz w:val="22"/>
        </w:rPr>
        <w:t>Diagramas técnicos (Mermaid) renderizados a PNG @ 2x para mantener la nitidez en impresión o proyección.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Cierres: </w:t>
      </w:r>
      <w:r>
        <w:rPr>
          <w:sz w:val="22"/>
        </w:rPr>
        <w:t>Cada documento cierra con tres apéndices: A) Vacíos de información, B) Riesgos identificados, C) Índice de identificadores.</w:t>
      </w:r>
    </w:p>
    <w:p>
      <w:pPr>
        <w:pStyle w:val="Heading1"/>
      </w:pPr>
      <w:r>
        <w:t>4. Mapa de dependencias</w:t>
      </w:r>
    </w:p>
    <w:p>
      <w:r>
        <w:rPr>
          <w:sz w:val="22"/>
        </w:rPr>
        <w:t>El orden recomendado de lectura y producción de los documentos 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1. </w:t>
      </w:r>
      <w:r>
        <w:rPr>
          <w:sz w:val="22"/>
        </w:rPr>
        <w:t>Visión (01) — lectura libre, no requiere otros documentos.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2. </w:t>
      </w:r>
      <w:r>
        <w:rPr>
          <w:sz w:val="22"/>
        </w:rPr>
        <w:t>Requisitos (02) — punto de partida; todos los demás lo referencian.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3. </w:t>
      </w:r>
      <w:r>
        <w:rPr>
          <w:sz w:val="22"/>
        </w:rPr>
        <w:t>Modelo de Datos (07) y Arquitectura (06) — describen la solución técnica.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4. </w:t>
      </w:r>
      <w:r>
        <w:rPr>
          <w:sz w:val="22"/>
        </w:rPr>
        <w:t>API (08) — derivada directa del código y de los requisitos.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5. </w:t>
      </w:r>
      <w:r>
        <w:rPr>
          <w:sz w:val="22"/>
        </w:rPr>
        <w:t>Casos de Uso (04) e Historias de Usuario (03) — describen el comportamiento funcional.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6. </w:t>
      </w:r>
      <w:r>
        <w:rPr>
          <w:sz w:val="22"/>
        </w:rPr>
        <w:t>Diseño Funcional (05) y Plan de QA (10) — operativizan los CU y HU.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7. </w:t>
      </w:r>
      <w:r>
        <w:rPr>
          <w:sz w:val="22"/>
        </w:rPr>
        <w:t>Backlog (09), Despliegue (11) y Manual Técnico (12) — operacionales.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8. </w:t>
      </w:r>
      <w:r>
        <w:rPr>
          <w:sz w:val="22"/>
        </w:rPr>
        <w:t>Matriz de Trazabilidad (MTX) — integra todo el conjunto.</w:t>
      </w:r>
    </w:p>
    <w:p>
      <w:pPr>
        <w:pStyle w:val="Heading1"/>
      </w:pPr>
      <w:r>
        <w:t>5. Trazabilidad macro del conjunto</w:t>
      </w:r>
    </w:p>
    <w:p>
      <w:r>
        <w:rPr>
          <w:sz w:val="22"/>
        </w:rPr>
        <w:t>Cada requisito funcional (RF) queda enlazado a al menos una historia de usuario (HU), un caso de uso (CU) y un caso de prueba (TC). La trazabilidad detallada se publica en el documento CUST-DOC-MTX (Matriz de Trazabilidad).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 (RF-###)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Historia (HU-###)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Caso de Uso (CU-###)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Pruebas (TC-###)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RF-001 Autenticación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HU-001, HU-002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CU-001, CU-002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TC-001, TC-002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RF-002 Gestión Empresas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HU-005, HU-006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TC-005, TC-006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RF-003 Gestión Usuarios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HU-007, HU-008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RF-004 RAT Wizard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HU-010 a HU-015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CU-010 a CU-015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TC-010 a TC-015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RF-005 Brechas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HU-020, HU-021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CU-020, CU-021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RF-006 ARCO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HU-022, HU-023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CU-022, CU-023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TC-022 a TC-024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RF-007 Exportación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HU-030, HU-031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CU-030, CU-031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TC-030, TC-031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RF-008 IA (chat)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HU-040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CU-040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TC-040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RF-009 Rubros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HU-041, HU-042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CU-041, CU-042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TC-041, TC-042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empresa responsable del producto es efectivamente 'Custodio SpA' o debe actualizarse?</w:t>
      </w:r>
    </w:p>
    <w:p>
      <w:pPr>
        <w:pStyle w:val="ListBullet"/>
        <w:spacing w:after="40"/>
        <w:ind w:left="340"/>
      </w:pPr>
      <w:r>
        <w:rPr>
          <w:sz w:val="22"/>
        </w:rPr>
        <w:t>¿La fecha de 'Junio 2026' es la fecha de emisión correcta? ¿Desea fecha exacta de generación?</w:t>
      </w:r>
    </w:p>
    <w:p>
      <w:pPr>
        <w:pStyle w:val="ListBullet"/>
        <w:spacing w:after="40"/>
        <w:ind w:left="340"/>
      </w:pPr>
      <w:r>
        <w:rPr>
          <w:sz w:val="22"/>
        </w:rPr>
        <w:t>¿El producto se comercializa bajo una marca distinta?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R-IDX-01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obsolescencia: este índice debe regenerarse cada vez que cambie la estructura documental.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R-IDX-02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inconsistencia: la trazabilidad entre documentos se mantiene manual; sin proceso de revisión, los IDs pueden diverger.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Característica observable del sistema, derivable a HU/CU/TC.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calidad: rendimiento, seguridad, compliance, etc.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desde la perspectiva del usuario con criterios de aceptación.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Índice Maestro de Documentación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Índice Maestro de Documentación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