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requisitos, derivado del código fuente v1.0.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Auditoría técnica: se agregan módulos de Consentimientos (RF-095 a RF-098) y Tickets ARCO (RF-099 a RF-105) detectados en el código.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 (README, casos de uso, manual de usuario y manual de pruebas). Cada requisito se ha nombrado con un identificador único que será referenciado por las Historias de Usuario (HU-###), los Casos de Uso (CU-###) y los Casos de Prueba (TC-###) del conjunto documental.</w:t>
      </w:r>
    </w:p>
    <w:p>
      <w:r>
        <w:rPr>
          <w:sz w:val="22"/>
        </w:rPr>
        <w:t>La numeración es estable: los requisitos no se renumeran. Cuando un requisito quede obsoleto, se marcará como '(Deprecado)' en la columna 'Estado' pero conservará su identificador.</w:t>
      </w:r>
    </w:p>
    <w:p>
      <w:pPr>
        <w:pStyle w:val="Heading1"/>
      </w:pPr>
      <w:r>
        <w:t>2. Actores del sistema</w:t>
      </w:r>
    </w:p>
    <w:p>
      <w:r>
        <w:rPr>
          <w:sz w:val="22"/>
        </w:rPr>
        <w:t>El sistema identifica los siguientes actores, que interactuarán con la plataforma en distintos niveles de responsabilidad: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 Gestiona empresas, usuarios, RATs, brechas, rubros, sugerencias. Único con capacidad de cambiar de empresa activa y eliminar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responsable de una empresa específica. Gestiona usuarios, RATs, brechas, reportes y exportaciones de su propia empresa. No tiene visibilidad de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rol de consulta y operación limitada. Puede crear y editar RATs y consultar reportes de su empresa.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Encargado de Protección de Datos (DPO)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Persona designada por la empresa. Recibirá notificaciones y podrá visualizar el estado de cumplimiento. No es un rol de sistema: se modela como un atributo de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Persona natural cuyos datos son tratados por la empresa. Interactúa con el sistema sólo a través del formulario público de derechos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Fiscalizador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Funcionario de la Agencia de Protección de Datos Personales (APDC) o auditor interno/contratado. Interactúa indirectamente a través de exportaciones PDF, CSV y formato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(compatible con OpenAI API o similar) que provee el chat de asistencia contextual dentro del módulo de Reportes. Activable mediante variable de entorno MINIMAX_API_KEY u OPENAI_API_KEY.</w:t>
            </w:r>
          </w:p>
        </w:tc>
      </w:tr>
    </w:tbl>
    <w:p>
      <w:pPr>
        <w:pStyle w:val="Heading1"/>
      </w:pPr>
      <w:r>
        <w:t>3. Requisitos funcionales (RF)</w:t>
      </w:r>
    </w:p>
    <w:p>
      <w:r>
        <w:rPr>
          <w:sz w:val="22"/>
        </w:rPr>
        <w:t>Los requisitos funcionales describen lo que el sistema debe hacer. Se han organizado por módulo de producto.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el inicio de sesión con credenciales (username y contraseña) y emitir un token JWT con expiración de 8 horas.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usuario autenticado cambiar su propia contraseña, validando la contraseña actual y exigiendo un mínimo de 6 caracteres.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administrador cambiar la contraseña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cerrar sesión, revocando el token JWT (logout con blacklist) y eliminando la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limitar el endpoint de login a 5 intentos por minuto por IP (rate limiting con slowapi).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persistir un único usuario superadmin inicial cuando la variable SEED_ADMIN=true y SEED_ADMIN_PASSWORD está definida.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creación de usuarios con tres roles globales: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administrador listar, actualizar y eliminar usuarios.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usuario 'usuario' listar su propio perfil mediante GET /auth/me.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superadmin crear empresas con razón social, RUT (validado con dígito verificador chileno), rubro, dirección, DPO y email del DPO.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editar y eliminar empresas (solo 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asignar usuarios a empresas a través de la tabla user_companies con rol por empresa (ADMIN, EDITOR, VIEWER).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impedir a un admin_empresa o usuario ver, editar o eliminar datos de empresas a las que no pertenece (aislamiento multi-tenant).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seleccionar la empresa activa desde la barra superior (Topbar) o el sidebar.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redirigir al usuario a /onboarding cuando el sistema no tiene ninguna empresa registrada.</w:t>
            </w:r>
          </w:p>
        </w:tc>
      </w:tr>
    </w:tbl>
    <w:p>
      <w:pPr>
        <w:pStyle w:val="Heading2"/>
      </w:pPr>
      <w:r>
        <w:t>3.3 Módulo de Registro de Actividades de Tratamiento (RAT)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el registro de un RAT con los 7 campos mínimos obligatorios del Art. 16 de la Ley 21.719: nombre_proceso, categoria_datos, categoria_titulares, finalidad, base_legal, fuente_datos, plazo_retencion.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capturar los 3 campos recomendados adicionales: medidas_seguridad, destinatarios, transferencia_datos.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marcar el RAT como 'datos_sensibles' y, en tal caso, seleccionar el tipo de dato sensible de una lista.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indicar si el RAT requiere EIPD (Evaluación de Impacto en Protección de Datos) y registrar su estado (no_requerida, pendiente, en_proceso, completada).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capturar la base legal del tratamiento de entre 6 opciones (consentimiento, ejecución de contrato, obligación legal, interés legítimo, interés vital, datos biométricos Art. 16 BIS).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exigir y capturar el test de 3 pasos de interés legítimo (test_interes_legitimo) cuando la base legal es 'interés legítimo'.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adjuntar un documento de respaldo a la base legal, almacenando el archivo binario, su nombre original, tipo MIME y hash SHA-256.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calcular automáticamente la completitud de un RAT como: (7 obligatorios + 3 recomendados - penalizaciones) / 10 × 100.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calcular automáticamente el nivel de riesgo del RAT (bajo, medio, alto, crítico) sumando 1-2 puntos por cada factor de riesgo presente.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transición de estado del RAT entre: borrador, completo, en_revision, 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duplicar un RAT existente, prefijando el nombre con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eliminación de un RAT con confirmación explícita.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registrar auditoría de todas las operaciones CRUD de RAT (creación, edición, eliminación, revisión periódica, aprobación) en la tabla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registrar una revisión periódica del RAT mediante POST /rats/{id}/revision, generando un evento de auditoría.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aprobar un RAT (POST /rats/{id}/aprobar), registrando el aprobador y la fecha de aprobación.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descargar el documento de base legal adjunto al RAT (GET /rats/{id}/archivo).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listar los tipos de proceso disponibles para sugerencias automáticas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obtener una sugerencia precompletada de RAT dado un tipo de proceso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administrar rubros y RATs sugeridos por rubro. Los rubros tienen nombre y orden configurable.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el registro de una brecha con descripción, fecha de detección, RATs afectados, datos comprometidos, medidas adoptadas y estado de notificación (APDC y titulares).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calcular automáticamente las horas transcurridas desde la detección y alertar cuando se acerque o haya vencido el plazo de 72 horas para notificar a la APDC.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editar y eliminar brechas de seguridad.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filtrar y listar las brechas por empresa.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exponer un formulario público (/solicitud_derecho) para que cualquier titular pueda ejercer sus derechos de Acceso, Rectificación, Cancelación u Oposición.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exigir un token temporal (5 min) generado por el backend para mitigar ataques automatizados contra el formulario.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titular identificarse con nombre, RUT opcional, email obligatorio y descripción de hasta 2.000 caracteres.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crear automáticamente un ticket de gestión (TktSolicitudDerecho) al recibir una solicitud, vinculado a la solicitud original.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equipo de la empresa responder la solicitud ARCO, cambiando su estado (pendiente, en_proceso, resuelta, rechazada) y registrando el historial de cambios.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adjuntar notas y archivos al ticket de gestión.</w:t>
            </w:r>
          </w:p>
        </w:tc>
      </w:tr>
    </w:tbl>
    <w:p>
      <w:pPr>
        <w:pStyle w:val="Heading2"/>
      </w:pPr>
      <w:r>
        <w:t>3.7 Módulo de Consentimientos (Art. 16)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permitir registrar consentimientos expresos obtenidos para tratamientos que involucren datos sensibles, capturando: nombre del titular, email, canal (WEB, PAPEL, FIRMA_DIGITAL, VERBAL, OTRO), texto del consentimiento y fecha de obtención.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almacenar la IP de origen donde se obtuvo el consentimiento (ip_origen) para cada registro.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permitir revoke un consentimiento, registrando la fecha de revocación y marcando el registro como inactivo.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asociar cada consentimiento a un RAT específico (relación N:1) y a una empresa (relación N:1).</w:t>
            </w:r>
          </w:p>
        </w:tc>
      </w:tr>
    </w:tbl>
    <w:p>
      <w:pPr>
        <w:pStyle w:val="Heading2"/>
      </w:pPr>
      <w:r>
        <w:t>3.8 Módulo de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permitir crear tickets de gestión ARCO manualmente, asociados a una empresa y opcionalmente a una solicitud de derechos.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gestionar el estado del ticket: ABIERTO, EN_PROCESO, PENDIENTE, RESUELTO.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gestionar la prioridad del ticket: BAJA, NORMAL, URGENTE.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registrar el origen del ticket: WEB, EMAIL, TELEFONO, PRESENCIAL, MANUAL.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permitir agregar notas internas a un ticket, con usuario y timestamp.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mantener un historial completo de cambios de estado del ticket, registrando estado anterior, estado nuevo, usuario y descripción.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  <w:u w:val="single"/>
              </w:rPr>
              <w:t>El sistema debe calcular automáticamente la fecha de vencimiento del ticket basada en SLA de 10 días hábiles Chile.</w:t>
            </w:r>
          </w:p>
        </w:tc>
      </w:tr>
    </w:tbl>
    <w:p>
      <w:pPr>
        <w:pStyle w:val="Heading2"/>
      </w:pPr>
      <w:r>
        <w:t>3.9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 los RATs de una empresa en formato CSV (GET /rats/export/csv).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 los RATs de una empresa en formato PDF (GET /rats/export/pdf), generado con ReportLab.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 un RAT individual en PDF (GET /rats/{id}/export/pdf).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del RAT completo en formato CNI (compatible con la APDC, GET /rats/export/cni).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aplicar filtros y ordenamiento en la consulta de reportes: estado, base legal, categoría de titulares, sensibles, EIPD, transferencia internacional, creador; con paginación y orden por múltiples campos.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entregar estadísticas agregadas (KPIs) por empresa: total de RATs, completitud promedio, RATs con datos sensibles, RATs que requieren EIPD, transferencias internacionales, decisiones automatizadas (GET /rats/dashboard/{company_id}).</w:t>
            </w:r>
          </w:p>
        </w:tc>
      </w:tr>
    </w:tbl>
    <w:p>
      <w:pPr>
        <w:pStyle w:val="Heading2"/>
      </w:pPr>
      <w:r>
        <w:t>3.10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registrar toda operación CRUD de RAT en la tabla audit_log, capturando timestamp, usuario, IP, acción, entidad y detalle.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consultar el historial de auditoría de un RAT (GET /rats/{id}/auditoria).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consultar la auditoría global de una empresa (GET /rats/auditoria/{company_id}).</w:t>
            </w:r>
          </w:p>
        </w:tc>
      </w:tr>
    </w:tbl>
    <w:p>
      <w:pPr>
        <w:pStyle w:val="Heading2"/>
      </w:pPr>
      <w:r>
        <w:t>3.11 Módulo de Inteligencia Artificial (chat contextual)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usuario autenticado enviar una pregunta al chat de IA contextual sobre la Ley 21.719 y los datos de la empresa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integrar un proveedor de IA configurable: prioridad MINIMAX_API_KEY, fallback OPENAI_API_KEY. Si ninguna está definida, el endpoint retorna un mensaje informativo.</w:t>
            </w:r>
          </w:p>
        </w:tc>
      </w:tr>
    </w:tbl>
    <w:p>
      <w:pPr>
        <w:pStyle w:val="Heading1"/>
      </w:pPr>
      <w:r>
        <w:t>4. Requisitos no funcionales (RNF)</w:t>
      </w:r>
    </w:p>
    <w:p>
      <w:r>
        <w:rPr>
          <w:sz w:val="22"/>
        </w:rPr>
        <w:t>Los requisitos no funcionales describen restricciones de calidad, seguridad, rendimiento, usabilidad, mantenibilidad y cumplimiento.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Las contraseñas deben almacenarse hasheadas con bcrypt (passlib + bcrypt) y nunca en texto plano.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 autenticación debe basarse en tokens JWT firmados (algoritmo HS256) con expiración máxima de 8 horas.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Las cookies de sesión deben ser httpOnly y Secure en producción (SameSite=None en producción, Lax en desarrollo).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implementar revocación de tokens (blacklist) para soportar logout efectivo.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aplicar rate limiting a endpoints sensibles (login: 5/min, cambio de contraseña: 5/min, token ARCO: 5/min, creación de solicitud ARCO: 3/hora, logout: 10/min).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implementar CORS estricto: en producción, la regex es 'https://.*\.vercel\.app' (sólo orígenes Vercel).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exigir la variable SECRET_KEY en producción y advertir si se usa el valor por defecto en desarrollo.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responder al endpoint de health-check /health/db en menos de 500 ms cuando la base de datos está disponible.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listar hasta 200 RATs por defecto y 50 por página en reportes, evitando cargar más registros de los necesarios en una sola vista.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estar disponible 99.5% del tiempo en producción, según SLA de Vercel para funciones serverless (excluyendo mantenimiento programado).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generar el PDF de un RAT individual en menos de 3 segundos con archivos adjuntos de hasta 5 MB.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implementar los campos mínimos obligatorios exigidos por el Art. 16 de la Ley 21.719 para el RAT.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calcular y mostrar alertas de cumplimiento relativas a: consentimiento inválido para biometría (Art. 16 BIS), EIPD obligatoria para datos sensibles, plazos de notificación de brechas (Art. 14 bis, 72h) y transferencias internacionales (Art. 28).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permitir la exportación del RAT en formato compatible con la APDC (formato CNI).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permitir el ejercicio de los derechos ARCO por parte de los titulares (Art. 14 y 16 bis).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 interfaz debe ser responsive: el sidebar debe colapsar a un menú hamburguesa en pantallas menores a 768 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 interfaz debe ser navegable íntegramente con teclado en los flujos principales: login, wizard RAT, formulario ARCO,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proporcionar retroalimentación visual inmediata mediante 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proporcionar un wizard de 4 pasos con barra de progreso para la creación y edición de RATs.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backend debe mantener una cobertura de tests mínima del 80% en endpoints críticos (auth, companies, rats, brechas, export).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código del backend debe seguir el patrón: rutas (routes/) → servicios (services/) → modelos (models/),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frontend debe mantener tipado estricto TypeScript (strict mode habilitado).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poder migrar la base de datos de SQLite (local) a PostgreSQL (Neon) sin pérdida de datos, mediante el script migrate_to_neon.py.</w:t>
            </w:r>
          </w:p>
        </w:tc>
      </w:tr>
    </w:tbl>
    <w:p>
      <w:pPr>
        <w:pStyle w:val="Heading2"/>
      </w:pPr>
      <w:r>
        <w:t>4.6 Internacionalización y formatos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RNF-050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validar RUT chileno con dígito verificador (módulo 11) y formatearlo con puntos y guión.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RNF-051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almacenar fechas en UTC y mostrarlas en la zona horaria del usuario (por defecto America/Santiago).</w:t>
            </w:r>
          </w:p>
        </w:tc>
      </w:tr>
    </w:tbl>
    <w:p>
      <w:pPr>
        <w:pStyle w:val="Heading1"/>
      </w:pPr>
      <w:r>
        <w:t>5. Restricciones y supuestos</w:t>
      </w:r>
    </w:p>
    <w:p>
      <w:r>
        <w:rPr>
          <w:sz w:val="22"/>
        </w:rPr>
        <w:t>El sistema opera bajo las siguientes restricciones y supuestos: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Restricción de plataforma: </w:t>
      </w:r>
      <w:r>
        <w:rPr>
          <w:sz w:val="22"/>
        </w:rPr>
        <w:t>La aplicación se despliega como funciones serverless en Vercel; por tanto, el tiempo máximo de ejecución por request es de 60 s (hobby) o 300 s (pro).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El almacenamiento de archivos binarios (documentos de base legal) se realiza en la propia base de datos (BYTEA en PostgreSQL / BLOB en SQLite), con un límite práctico de 5 MB por archivo.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Archivos grandes: </w:t>
      </w:r>
      <w:r>
        <w:rPr>
          <w:sz w:val="22"/>
        </w:rPr>
        <w:t>La carga de archivos pesados (videos, datasets) no está soportada en el MVP; se recomienda migrar a un servicio de objetos (S3) en V2.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El sistema depende de Neon PostgreSQL en producción; la indisponibilidad de la base de datos impide todas las operaciones excepto la página de login.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Se asume que la fecha de entrada en vigencia general de la Ley 21.719 es el 1 de diciembre de 2026 (período de adaptación).</w:t>
      </w:r>
    </w:p>
    <w:p>
      <w:pPr>
        <w:pStyle w:val="Heading1"/>
      </w:pPr>
      <w:r>
        <w:t>6. Trazabilidad</w:t>
      </w:r>
    </w:p>
    <w:p>
      <w:r>
        <w:rPr>
          <w:sz w:val="22"/>
        </w:rPr>
        <w:t>La trazabilidad detallada entre requisitos, historias de usuario, casos de uso y casos de prueba se publica en el documento CUST-DOC-MTX (Matriz de Trazabilidad). El siguiente es un resumen de cobertura: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 RF → HU: </w:t>
      </w:r>
      <w:r>
        <w:rPr>
          <w:sz w:val="22"/>
        </w:rPr>
        <w:t>El 100% de los requisitos RF-### están enlazados a al menos una historia de usuario (HU-###) en el documento CUST-DOC-03.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 RF → CU: </w:t>
      </w:r>
      <w:r>
        <w:rPr>
          <w:sz w:val="22"/>
        </w:rPr>
        <w:t>El 100% de los requisitos RF-### están enlazados a al menos un caso de uso (CU-###) en el documento CUST-DOC-04.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 RF → TC: </w:t>
      </w:r>
      <w:r>
        <w:rPr>
          <w:sz w:val="22"/>
        </w:rPr>
        <w:t>El 100% de los requisitos RF-### y RNF-### cuentan con al menos un caso de prueba (TC-###) en el documento CUST-DOC-10.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¿Existen requisitos no documentados en el código que provengan de tickets internos o feedback de clientes?</w:t>
      </w:r>
    </w:p>
    <w:p>
      <w:pPr>
        <w:pStyle w:val="ListBullet"/>
        <w:spacing w:after="40"/>
        <w:ind w:left="340"/>
      </w:pPr>
      <w:r>
        <w:rPr>
          <w:sz w:val="22"/>
        </w:rPr>
        <w:t>¿Cuál es la política de retención de los datos personales de los titulares una vez finalizado el tratamiento?</w:t>
      </w:r>
    </w:p>
    <w:p>
      <w:pPr>
        <w:pStyle w:val="ListBullet"/>
        <w:spacing w:after="40"/>
        <w:ind w:left="340"/>
      </w:pPr>
      <w:r>
        <w:rPr>
          <w:sz w:val="22"/>
        </w:rPr>
        <w:t>¿El sistema debe integrarse con la APDC vía API en el futuro (V2)?</w:t>
      </w:r>
    </w:p>
    <w:p>
      <w:pPr>
        <w:pStyle w:val="ListBullet"/>
        <w:spacing w:after="40"/>
        <w:ind w:left="340"/>
      </w:pPr>
      <w:r>
        <w:rPr>
          <w:sz w:val="22"/>
        </w:rPr>
        <w:t>¿Se requiere multi-idioma (inglés) en el formulario público de derechos ARCO?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obsolescencia de la numeración: si se reordena o fusiona un requisito, los IDs históricos pueden quedar desligados de la trazabilidad.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inconsistencia entre 'is_admin' (legacy) y 'rol_global' (canónico). El sistema conserva ambos por compatibilidad, lo que podría generar confusión en mantenimientos futuros.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fuga de información por la regex CORS amplia 'https://.*\.vercel\.app': cualquier subdominio de Vercel es aceptado, lo que incluye deployments de fork o de terceros.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 que satisface una necesidad del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calidad, seguridad, rendimiento, compliance, etc.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que interactúa con 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Verificación de un requisito con datos de entrada y resultado esperado.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