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4"/>
        </w:rPr>
        <w:t xml:space="preserve">  ▣  CUSTODIO  ·  CUSTODIO RAT MANAGER  </w:t>
      </w:r>
    </w:p>
    <w:p>
      <w:pPr>
        <w:spacing w:before="720" w:after="120"/>
        <w:jc w:val="center"/>
      </w:pPr>
      <w:r>
        <w:rPr>
          <w:i/>
          <w:color w:val="808080"/>
          <w:sz w:val="22"/>
        </w:rPr>
        <w:t>CUST-DOC-02</w:t>
      </w:r>
    </w:p>
    <w:p/>
    <w:p/>
    <w:p>
      <w:pPr>
        <w:spacing w:after="240"/>
        <w:jc w:val="center"/>
      </w:pPr>
      <w:r>
        <w:rPr>
          <w:b/>
          <w:color w:val="1F497D"/>
          <w:sz w:val="56"/>
        </w:rPr>
        <w:t>LEVANTAMIENTO DE REQUISITOS</w:t>
      </w:r>
    </w:p>
    <w:p>
      <w:pPr>
        <w:spacing w:after="480"/>
        <w:jc w:val="center"/>
      </w:pPr>
      <w:r>
        <w:rPr>
          <w:i/>
          <w:color w:val="2E74B5"/>
          <w:sz w:val="28"/>
        </w:rPr>
        <w:t>Requisitos Funcionales y No Funcionales · Ley 21.719</w:t>
      </w:r>
    </w:p>
    <w:p/>
    <w:p/>
    <w:p>
      <w:pPr>
        <w:jc w:val="center"/>
        <w:pBdr>
          <w:bottom w:val="single" w:sz="12" w:space="1" w:color="2E74B5"/>
        </w:pBdr>
      </w:pPr>
      <w:r>
        <w:rPr>
          <w:sz w:val="4"/>
        </w:rPr>
        <w:t xml:space="preserve">  </w:t>
      </w:r>
    </w:p>
    <w:p/>
    <w:p/>
    <w:p>
      <w:pPr>
        <w:spacing w:after="40"/>
        <w:jc w:val="center"/>
      </w:pPr>
      <w:r>
        <w:rPr>
          <w:b/>
          <w:color w:val="1F497D"/>
          <w:sz w:val="22"/>
        </w:rPr>
        <w:t xml:space="preserve">Versión:  </w:t>
      </w:r>
      <w:r>
        <w:rPr>
          <w:color w:val="404040"/>
          <w:sz w:val="22"/>
        </w:rPr>
        <w:t>v1.2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Fecha de emisión:  </w:t>
      </w:r>
      <w:r>
        <w:rPr>
          <w:color w:val="404040"/>
          <w:sz w:val="22"/>
        </w:rPr>
        <w:t>Junio 2026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Autor:  </w:t>
      </w:r>
      <w:r>
        <w:rPr>
          <w:color w:val="404040"/>
          <w:sz w:val="22"/>
        </w:rPr>
        <w:t>Equipo de Desarrollo — Custodio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Empresa responsable:  </w:t>
      </w:r>
      <w:r>
        <w:rPr>
          <w:color w:val="404040"/>
          <w:sz w:val="22"/>
        </w:rPr>
        <w:t>Custodio SpA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Clasificación:  </w:t>
      </w:r>
      <w:r>
        <w:rPr>
          <w:color w:val="404040"/>
          <w:sz w:val="22"/>
        </w:rPr>
        <w:t>Interno — Confidencial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Producto:  </w:t>
      </w:r>
      <w:r>
        <w:rPr>
          <w:color w:val="404040"/>
          <w:sz w:val="22"/>
        </w:rPr>
        <w:t>Custodio RAT Manager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Marco regulatorio:  </w:t>
      </w:r>
      <w:r>
        <w:rPr>
          <w:color w:val="404040"/>
          <w:sz w:val="22"/>
        </w:rPr>
        <w:t>Ley N.° 21.719 — Chile</w:t>
      </w:r>
    </w:p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0"/>
        </w:rPr>
        <w:t xml:space="preserve">  CUMPLIMIENTO DE LA LEY 21.719 DE PROTECCIÓN DE DATOS PERSONALES DE CHILE  </w:t>
      </w:r>
    </w:p>
    <w:p>
      <w:r>
        <w:br w:type="page"/>
      </w:r>
    </w:p>
    <w:p>
      <w:pPr>
        <w:pStyle w:val="Heading1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1F497D"/>
          </w:tcPr>
          <w:p>
            <w:r/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1417"/>
            <w:shd w:val="clear" w:color="auto" w:fill="1F497D"/>
          </w:tcPr>
          <w:p>
            <w:r/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701"/>
            <w:shd w:val="clear" w:color="auto" w:fill="1F497D"/>
          </w:tcPr>
          <w:p>
            <w:r/>
            <w:r>
              <w:rPr>
                <w:b/>
                <w:color w:val="FFFFFF"/>
              </w:rPr>
              <w:t>Autor</w:t>
            </w:r>
          </w:p>
        </w:tc>
        <w:tc>
          <w:tcPr>
            <w:tcW w:type="dxa" w:w="6004"/>
            <w:shd w:val="clear" w:color="auto" w:fill="1F497D"/>
          </w:tcPr>
          <w:p>
            <w:r/>
            <w:r>
              <w:rPr>
                <w:b/>
                <w:color w:val="FFFFFF"/>
              </w:rPr>
              <w:t>Cambios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Creación inicial del documento de requisitos, derivado del código fuente v1.0.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1.1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Auditoría técnica: se agregan módulos de Consentimientos (RF-095 a RF-098) y Tickets ARCO (RF-099 a RF-105) detectados en el código.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1.2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  <w:u w:val="single"/>
              </w:rPr>
              <w:t>_Auditoría v1.2: nuevo módulo Feriados (RF-110 a RF-113), fixes de seguridad P0 implementados (token blacklist, IDOR protection, CSV sanitization), audit trail hash chain._</w:t>
            </w:r>
          </w:p>
        </w:tc>
      </w:tr>
    </w:tbl>
    <w:p/>
    <w:p>
      <w:pPr>
        <w:pStyle w:val="Heading2"/>
      </w:pPr>
      <w:r>
        <w:t>Estado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97D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986"/>
            <w:shd w:val="clear" w:color="auto" w:fill="1F497D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Nombre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Levantamiento de Requisitos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Producto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Custodio RAT Manager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Marco regulatorio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Ley N.° 21.719 de Protección de Datos Personales (Chile)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color w:val="808080"/>
          <w:sz w:val="18"/>
        </w:rPr>
        <w:t>Sugerencia: en Microsoft Word, presione F9 sobre la tabla para actualizar el contenido y los números de página.</w:t>
      </w:r>
    </w:p>
    <w:p>
      <w:r>
        <w:br w:type="page"/>
      </w:r>
    </w:p>
    <w:p>
      <w:pPr>
        <w:pStyle w:val="Heading1"/>
      </w:pPr>
      <w:r>
        <w:t>1. Introducción</w:t>
      </w:r>
    </w:p>
    <w:p>
      <w:r>
        <w:rPr>
          <w:sz w:val="22"/>
        </w:rPr>
        <w:t>Este documento levanta, en formato numerado y trazable, los requisitos funcionales (RF) y no funcionales (RNF) del sistema Custodio RAT Manager, derivados del código fuente y de la documentación existente (README, casos de uso, manual de usuario y manual de pruebas). Cada requisito se ha nombrado con un identificador único que será referenciado por las Historias de Usuario (HU-###), los Casos de Uso (CU-###) y los Casos de Prueba (TC-###) del conjunto documental.</w:t>
      </w:r>
    </w:p>
    <w:p>
      <w:r>
        <w:rPr>
          <w:sz w:val="22"/>
        </w:rPr>
        <w:t>La numeración es estable: los requisitos no se renumeran. Cuando un requisito quede obsoleto, se marcará como '(Deprecado)' en la columna 'Estado' pero conservará su identificador.</w:t>
      </w:r>
    </w:p>
    <w:p>
      <w:pPr>
        <w:pStyle w:val="Heading1"/>
      </w:pPr>
      <w:r>
        <w:t>2. Actores del sistema</w:t>
      </w:r>
    </w:p>
    <w:p>
      <w:r>
        <w:rPr>
          <w:sz w:val="22"/>
        </w:rPr>
        <w:t>El sistema identifica los siguientes actores, que interactuarán con la plataforma en distintos niveles de responsabilidad: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255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Actor</w:t>
            </w:r>
          </w:p>
        </w:tc>
        <w:tc>
          <w:tcPr>
            <w:tcW w:type="dxa" w:w="635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AC-01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Superadministrador (superadmin)</w:t>
            </w:r>
          </w:p>
        </w:tc>
        <w:tc>
          <w:tcPr>
            <w:tcW w:type="dxa" w:w="6350"/>
            <w:vAlign w:val="top"/>
          </w:tcPr>
          <w:p>
            <w:r/>
            <w:r>
              <w:rPr>
                <w:sz w:val="20"/>
              </w:rPr>
              <w:t>Usuario con acceso total al sistema. Gestiona empresas, usuarios, RATs, brechas, rubros, sugerencias. Único con capacidad de cambiar de empresa activa y eliminar empresas.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AC-02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Administrador de empresa (admin_empresa)</w:t>
            </w:r>
          </w:p>
        </w:tc>
        <w:tc>
          <w:tcPr>
            <w:tcW w:type="dxa" w:w="6350"/>
            <w:vAlign w:val="top"/>
          </w:tcPr>
          <w:p>
            <w:r/>
            <w:r>
              <w:rPr>
                <w:sz w:val="20"/>
              </w:rPr>
              <w:t>Usuario responsable de una empresa específica. Gestiona usuarios, RATs, brechas, reportes y exportaciones de su propia empresa. No tiene visibilidad de otras empresas.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AC-03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Usuario (usuario)</w:t>
            </w:r>
          </w:p>
        </w:tc>
        <w:tc>
          <w:tcPr>
            <w:tcW w:type="dxa" w:w="6350"/>
            <w:vAlign w:val="top"/>
          </w:tcPr>
          <w:p>
            <w:r/>
            <w:r>
              <w:rPr>
                <w:sz w:val="20"/>
              </w:rPr>
              <w:t>Usuario con rol de consulta y operación limitada. Puede crear y editar RATs y consultar reportes de su empresa. No puede eliminar ni gestionar usuarios.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AC-04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Encargado de Protección de Datos (DPO)</w:t>
            </w:r>
          </w:p>
        </w:tc>
        <w:tc>
          <w:tcPr>
            <w:tcW w:type="dxa" w:w="6350"/>
            <w:vAlign w:val="top"/>
          </w:tcPr>
          <w:p>
            <w:r/>
            <w:r>
              <w:rPr>
                <w:sz w:val="20"/>
              </w:rPr>
              <w:t>Persona designada por la empresa. Recibirá notificaciones y podrá visualizar el estado de cumplimiento. No es un rol de sistema: se modela como un atributo de la empresa (contacto_dpo, email_dpo).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AC-05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Titular de datos (externo)</w:t>
            </w:r>
          </w:p>
        </w:tc>
        <w:tc>
          <w:tcPr>
            <w:tcW w:type="dxa" w:w="6350"/>
            <w:vAlign w:val="top"/>
          </w:tcPr>
          <w:p>
            <w:r/>
            <w:r>
              <w:rPr>
                <w:sz w:val="20"/>
              </w:rPr>
              <w:t>Persona natural cuyos datos son tratados por la empresa. Interactúa con el sistema sólo a través del formulario público de derechos ARCO en /solicitud_derecho.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AC-06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Auditor / Fiscalizador (externo)</w:t>
            </w:r>
          </w:p>
        </w:tc>
        <w:tc>
          <w:tcPr>
            <w:tcW w:type="dxa" w:w="6350"/>
            <w:vAlign w:val="top"/>
          </w:tcPr>
          <w:p>
            <w:r/>
            <w:r>
              <w:rPr>
                <w:sz w:val="20"/>
              </w:rPr>
              <w:t>Funcionario de la Agencia de Protección de Datos Personales (APDC) o auditor interno/contratado. Interactúa indirectamente a través de exportaciones PDF, CSV y formato CNI.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AC-07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Sistema de IA (externo)</w:t>
            </w:r>
          </w:p>
        </w:tc>
        <w:tc>
          <w:tcPr>
            <w:tcW w:type="dxa" w:w="6350"/>
            <w:vAlign w:val="top"/>
          </w:tcPr>
          <w:p>
            <w:r/>
            <w:r>
              <w:rPr>
                <w:sz w:val="20"/>
              </w:rPr>
              <w:t>Servicio externo opcional (compatible con OpenAI API o similar) que provee el chat de asistencia contextual dentro del módulo de Reportes. Activable mediante variable de entorno MINIMAX_API_KEY u OPENAI_API_KEY.</w:t>
            </w:r>
          </w:p>
        </w:tc>
      </w:tr>
    </w:tbl>
    <w:p>
      <w:pPr>
        <w:pStyle w:val="Heading1"/>
      </w:pPr>
      <w:r>
        <w:t>3. Requisitos funcionales (RF)</w:t>
      </w:r>
    </w:p>
    <w:p>
      <w:r>
        <w:rPr>
          <w:sz w:val="22"/>
        </w:rPr>
        <w:t>Los requisitos funcionales describen lo que el sistema debe hacer. Se han organizado por módulo de producto.</w:t>
      </w:r>
    </w:p>
    <w:p>
      <w:pPr>
        <w:pStyle w:val="Heading2"/>
      </w:pPr>
      <w:r>
        <w:t>3.1 Módulo de autenticación y usuarios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97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RF-001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permitir el inicio de sesión con credenciales (username y contraseña) y emitir un token JWT con expiración de 8 horas.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RF-002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permitir al usuario autenticado cambiar su propia contraseña, validando la contraseña actual y exigiendo un mínimo de 6 caracteres.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RF-003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permitir a un administrador cambiar la contraseña de cualquier usuario.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RF-004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permitir cerrar sesión, revocando el token JWT (logout con blacklist) y eliminando la cookie httpOnly.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RF-005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limitar el endpoint de login a 5 intentos por minuto por IP (rate limiting con slowapi).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RF-006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persistir un único usuario superadmin inicial cuando la variable SEED_ADMIN=true y SEED_ADMIN_PASSWORD está definida.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RF-007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permitir la creación de usuarios con tres roles globales: superadmin, admin_empresa, usuario.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RF-008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permitir a un administrador listar, actualizar y eliminar usuarios.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RF-009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permitir al usuario 'usuario' listar su propio perfil mediante GET /auth/me.</w:t>
            </w:r>
          </w:p>
        </w:tc>
      </w:tr>
    </w:tbl>
    <w:p>
      <w:pPr>
        <w:pStyle w:val="Heading2"/>
      </w:pPr>
      <w:r>
        <w:t>3.2 Módulo de empresas y multi-tenancy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97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RF-010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permitir al superadmin crear empresas con razón social, RUT (validado con dígito verificador chileno), rubro, dirección, DPO y email del DPO.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RF-011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permitir editar y eliminar empresas (solo superadmin para eliminar).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RF-012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permitir asignar usuarios a empresas a través de la tabla user_companies con rol por empresa (ADMIN, EDITOR, VIEWER).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RF-013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El sistema debe impedir a un admin_empresa o usuario ver, editar o eliminar datos de empresas a las que no pertenece (aislamiento multi-tenant con check_company_access).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RF-014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permitir seleccionar la empresa activa desde la barra superior (Topbar) o el sidebar.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RF-015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redirigir al usuario a /onboarding cuando el sistema no tiene ninguna empresa registrada.</w:t>
            </w:r>
          </w:p>
        </w:tc>
      </w:tr>
    </w:tbl>
    <w:p>
      <w:pPr>
        <w:pStyle w:val="Heading2"/>
      </w:pPr>
      <w:r>
        <w:t>3.3 Módulo de Registro de Actividades de Tratamiento (RAT)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97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RF-020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permitir el registro de un RAT con los 7 campos mínimos obligatorios del Art. 16 de la Ley 21.719: nombre_proceso, categoria_datos, categoria_titulares, finalidad, base_legal, fuente_datos, plazo_retencion.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RF-021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permitir capturar los 3 campos recomendados adicionales: medidas_seguridad, destinatarios, transferencia_datos.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RF-022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permitir marcar el RAT como 'datos_sensibles' y, en tal caso, seleccionar el tipo de dato sensible de una lista.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RF-023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permitir indicar si el RAT requiere EIPD (Evaluación de Impacto en Protección de Datos) y registrar su estado (no_requerida, pendiente, en_proceso, completada).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RF-024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permitir capturar la base legal del tratamiento de entre 6 opciones (consentimiento, ejecución de contrato, obligación legal, interés legítimo, interés vital, datos biométricos Art. 16 BIS).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RF-025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exigir y capturar el test de 3 pasos de interés legítimo (test_interes_legitimo) cuando la base legal es 'interés legítimo'.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RF-026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permitir adjuntar un documento de respaldo a la base legal, almacenando el archivo binario, su nombre original, tipo MIME y hash SHA-256.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RF-027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calcular automáticamente la completitud de un RAT como: (7 obligatorios + 3 recomendados - penalizaciones) / 10 × 100.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RF-028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calcular automáticamente el nivel de riesgo del RAT (bajo, medio, alto, crítico) sumando 1-2 puntos por cada factor de riesgo presente.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RF-029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permitir la transición de estado del RAT entre: borrador, completo, en_revision, aprobado.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RF-030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permitir duplicar un RAT existente, prefijando el nombre con 'Copia de'.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RF-031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permitir la eliminación de un RAT con confirmación explícita.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RF-032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registrar auditoría de todas las operaciones CRUD de RAT (creación, edición, eliminación, revisión periódica, aprobación) en la tabla audit_log.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RF-033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permitir registrar una revisión periódica del RAT mediante POST /rats/{id}/revision, generando un evento de auditoría.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RF-034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permitir aprobar un RAT (POST /rats/{id}/aprobar), registrando el aprobador y la fecha de aprobación.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RF-035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permitir descargar el documento de base legal adjunto al RAT (GET /rats/{id}/archivo).</w:t>
            </w:r>
          </w:p>
        </w:tc>
      </w:tr>
    </w:tbl>
    <w:p>
      <w:pPr>
        <w:pStyle w:val="Heading2"/>
      </w:pPr>
      <w:r>
        <w:t>3.4 Módulo de sugerencias de RAT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97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RF-040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permitir listar los tipos de proceso disponibles para sugerencias automáticas (GET /rats/sugerencias/tipos).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RF-041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permitir obtener una sugerencia precompletada de RAT dado un tipo de proceso (POST /rats/sugerencias).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RF-042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administrar rubros y RATs sugeridos por rubro. Los rubros tienen nombre y orden configurable.</w:t>
            </w:r>
          </w:p>
        </w:tc>
      </w:tr>
    </w:tbl>
    <w:p>
      <w:pPr>
        <w:pStyle w:val="Heading2"/>
      </w:pPr>
      <w:r>
        <w:t>3.5 Módulo de brechas de seguridad (Art. 14 bis)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97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RF-050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permitir el registro de una brecha con descripción, fecha de detección, RATs afectados, datos comprometidos, medidas adoptadas y estado de notificación (APDC y titulares).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RF-051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calcular automáticamente las horas transcurridas desde la detección y alertar cuando se acerque o haya vencido el plazo de 72 horas para notificar a la APDC.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RF-052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permitir editar y eliminar brechas de seguridad.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RF-053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permitir filtrar y listar las brechas por empresa.</w:t>
            </w:r>
          </w:p>
        </w:tc>
      </w:tr>
    </w:tbl>
    <w:p>
      <w:pPr>
        <w:pStyle w:val="Heading2"/>
      </w:pPr>
      <w:r>
        <w:t>3.6 Módulo de derechos ARCO (Art. 14 y 16 bis)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97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RF-060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exponer un formulario público (/solicitud_derecho) para que cualquier titular pueda ejercer sus derechos de Acceso, Rectificación, Cancelación u Oposición.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RF-061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exigir un token temporal (5 min) generado por el backend para mitigar ataques automatizados contra el formulario.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RF-062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permitir a un titular identificarse con nombre, RUT opcional, email obligatorio y descripción de hasta 2.000 caracteres.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RF-063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crear automáticamente un ticket de gestión (TktSolicitudDerecho) al recibir una solicitud, vinculado a la solicitud original.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RF-064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permitir al equipo de la empresa responder la solicitud ARCO, cambiando su estado (pendiente, en_proceso, resuelta, rechazada) y registrando el historial de cambios.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RF-065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permitir adjuntar notas y archivos al ticket de gestión.</w:t>
            </w:r>
          </w:p>
        </w:tc>
      </w:tr>
    </w:tbl>
    <w:p>
      <w:pPr>
        <w:pStyle w:val="Heading2"/>
      </w:pPr>
      <w:r>
        <w:t>3.7 Módulo de Consentimientos (Art. 16)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97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RF-095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permitir registrar consentimientos expresos obtenidos para tratamientos que involucren datos sensibles, capturando: nombre del titular, email, canal (WEB, PAPEL, FIRMA_DIGITAL, VERBAL, OTRO), texto del consentimiento y fecha de obtención.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RF-096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almacenar la IP de origen donde se obtuvo el consentimiento (ip_origen) para cada registro.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RF-097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permitir revoke un consentimiento, registrando la fecha de revocación y marcando el registro como inactivo.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RF-098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asociar cada consentimiento a un RAT específico (relación N:1) y a una empresa (relación N:1).</w:t>
            </w:r>
          </w:p>
        </w:tc>
      </w:tr>
    </w:tbl>
    <w:p>
      <w:pPr>
        <w:pStyle w:val="Heading2"/>
      </w:pPr>
      <w:r>
        <w:t>3.8 Módulo de Tickets ARCO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97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RF-099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permitir crear tickets de gestión ARCO manualmente, asociados a una empresa y opcionalmente a una solicitud de derechos.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RF-100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gestionar el estado del ticket: ABIERTO, EN_PROCESO, PENDIENTE, RESUELTO.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RF-101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gestionar la prioridad del ticket: BAJA, NORMAL, URGENTE.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RF-102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registrar el origen del ticket: WEB, EMAIL, TELEFONO, PRESENCIAL, MANUAL.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RF-103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permitir agregar notas internas a un ticket, con usuario y timestamp.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RF-104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mantener un historial completo de cambios de estado del ticket, registrando estado anterior, estado nuevo, usuario y descripción.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RF-105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calcular automáticamente la fecha de vencimiento del ticket basada en SLA de 10 días hábiles Chile.</w:t>
            </w:r>
          </w:p>
        </w:tc>
      </w:tr>
    </w:tbl>
    <w:p>
      <w:pPr>
        <w:pStyle w:val="Heading2"/>
      </w:pPr>
      <w:r>
        <w:t>3.9 Módulo de reportes y exportaciones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97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RF-070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El sistema debe sanitizar todas las exportaciones CSV contra inyección de fórmulas (caracteres =, +, -, @ prefijados con apostrophe).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RF-071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permitir la exportación de los RATs de una empresa en formato PDF (GET /rats/export/pdf), generado con ReportLab.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RF-072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permitir la exportación de un RAT individual en PDF (GET /rats/{id}/export/pdf).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RF-073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permitir la exportación del RAT completo en formato CNI (compatible con la APDC, GET /rats/export/cni).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RF-074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permitir aplicar filtros y ordenamiento en la consulta de reportes: estado, base legal, categoría de titulares, sensibles, EIPD, transferencia internacional, creador; con paginación y orden por múltiples campos.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RF-075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entregar estadísticas agregadas (KPIs) por empresa: total de RATs, completitud promedio, RATs con datos sensibles, RATs que requieren EIPD, transferencias internacionales, decisiones automatizadas (GET /rats/dashboard/{company_id}).</w:t>
            </w:r>
          </w:p>
        </w:tc>
      </w:tr>
    </w:tbl>
    <w:p>
      <w:pPr>
        <w:pStyle w:val="Heading2"/>
      </w:pPr>
      <w:r>
        <w:t>3.10 Módulo de auditoría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97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RF-080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registrar toda operación CRUD de RAT en la tabla audit_log, capturando timestamp, usuario, IP, acción, entidad y detalle.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RF-081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El sistema debe implementar hash chain en audit_log (prev_hash + hash SHA-256) para garantizar inmutabilidad del registro de auditoría.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RF-082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permitir consultar la auditoría global de una empresa (GET /rats/auditoria/{company_id}).</w:t>
            </w:r>
          </w:p>
        </w:tc>
      </w:tr>
    </w:tbl>
    <w:p>
      <w:pPr>
        <w:pStyle w:val="Heading2"/>
      </w:pPr>
      <w:r>
        <w:t>3.11 Módulo de Inteligencia Artificial (chat contextual)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97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RF-090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Baja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 (opcional)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permitir a un usuario autenticado enviar una pregunta al chat de IA contextual sobre la Ley 21.719 y los datos de la empresa (POST /ai/ask).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RF-091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Baja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 (opcional)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integrar un proveedor de IA configurable: prioridad MINIMAX_API_KEY, fallback OPENAI_API_KEY. Si ninguna está definida, el endpoint retorna un mensaje informativo.</w:t>
            </w:r>
          </w:p>
        </w:tc>
      </w:tr>
    </w:tbl>
    <w:p>
      <w:pPr>
        <w:pStyle w:val="Heading2"/>
      </w:pPr>
      <w:r>
        <w:t>3.12 Módulo de Feriados (NUEVO v1.2)</w:t>
      </w:r>
    </w:p>
    <w:p>
      <w:r>
        <w:rPr>
          <w:sz w:val="22"/>
        </w:rPr>
        <w:t>_Módulo agregado en auditoría v1.2 para gestión de feriados nacionales chilenos. Se usa en el cálculo de fechas límite de atención de Tickets ARCO._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97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RF-110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El sistema debe permitir listar, crear, editar y eliminar feriados nacionales chilenos (CRUD) con campos: fecha, nombre, tipo (civil, religioso, otro).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RF-111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El sistema debe permitir subir feriados en bulk mediante archivo CSV con encoding UTF-8 BOM (POST /admin/feriados/upload).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RF-112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El sistema debe permitir exportar la lista de feriados como CSV (GET /admin/feriados/export).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RF-113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El sistema debe calcular días hábiles en Chile considerando los feriados nacionales registrados, usándolos en el cómputo de SLA de Tickets ARCO (ticket_service.py con FeriadosChile).</w:t>
            </w:r>
          </w:p>
        </w:tc>
      </w:tr>
    </w:tbl>
    <w:p>
      <w:pPr>
        <w:pStyle w:val="Heading1"/>
      </w:pPr>
      <w:r>
        <w:t>4. Requisitos No Funcionales</w:t>
      </w:r>
    </w:p>
    <w:p>
      <w:r>
        <w:rPr>
          <w:sz w:val="22"/>
        </w:rPr>
        <w:t>Los requisitos no funcionales describen restricciones de calidad, seguridad, rendimiento, usabilidad, mantenibilidad y cumplimiento.</w:t>
      </w:r>
    </w:p>
    <w:p>
      <w:pPr>
        <w:pStyle w:val="Heading2"/>
      </w:pPr>
      <w:r>
        <w:t>4.1 Seguridad y autenticación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788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RNF-001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Las contraseñas deben almacenarse hasheadas con bcrypt (passlib + bcrypt) y nunca en texto plano.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RNF-002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La autenticación debe basarse en tokens JWT firmados (algoritmo HS256) con expiración máxima de 8 horas.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RNF-003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Las cookies de sesión deben ser httpOnly y Secure en producción (SameSite=None en producción, Lax en desarrollo).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RNF-004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  <w:u w:val="single"/>
              </w:rPr>
              <w:t>El sistema debe implementar revocación de tokens (blacklist LRU 1000 slots) para soportar logout efectivo y fuerza bruta detectada.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RNF-005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El sistema debe aplicar rate limiting a endpoints sensibles (login: 5/min, cambio de contraseña: 5/min, token ARCO: 5/min, creación de solicitud ARCO: 3/hora, logout: 10/min).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RNF-006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El sistema debe implementar CORS estricto: en producción, la regex es 'https://.*\.vercel\.app' (sólo orígenes Vercel).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RNF-007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El sistema debe exigir la variable SECRET_KEY en producción y advertir si se usa el valor por defecto en desarrollo.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RNF-008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  <w:u w:val="single"/>
              </w:rPr>
              <w:t>El sistema debe sanitizar todos los exports CSV contra inyección de fórmulas (prefijo apostrophe en campos que empiecen con =, +, -, @).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RNF-009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  <w:u w:val="single"/>
              </w:rPr>
              <w:t>El sistema debe aplicar validación de acceso por empresa en todos los endpoints que reciban company_id como path parameter (IDOR protection).</w:t>
            </w:r>
          </w:p>
        </w:tc>
      </w:tr>
    </w:tbl>
    <w:p>
      <w:pPr>
        <w:pStyle w:val="Heading2"/>
      </w:pPr>
      <w:r>
        <w:t>4.2 Rendimiento y disponibilidad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788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RNF-010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El sistema debe responder al endpoint de health-check /health/db en menos de 500 ms cuando la base de datos está disponible.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RNF-011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El sistema debe listar hasta 200 RATs por defecto y 50 por página en reportes, evitando cargar más registros de los necesarios en una sola vista.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RNF-012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El sistema debe estar disponible 99.5% del tiempo en producción, según SLA de Vercel para funciones serverless (excluyendo mantenimiento programado).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RNF-013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El sistema debe generar el PDF de un RAT individual en menos de 3 segundos con archivos adjuntos de hasta 5 MB.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RNF-014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  <w:u w:val="single"/>
              </w:rPr>
              <w:t>El sistema debe optimizar consultas N+1 usando selectinload/joinedload en listados de RATs y brechas (audit v1.2).</w:t>
            </w:r>
          </w:p>
        </w:tc>
      </w:tr>
    </w:tbl>
    <w:p>
      <w:pPr>
        <w:pStyle w:val="Heading2"/>
      </w:pPr>
      <w:r>
        <w:t>4.3 Cumplimiento normativo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788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RNF-020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El sistema debe implementar los campos mínimos obligatorios exigidos por el Art. 16 de la Ley 21.719 para el RAT.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RNF-021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El sistema debe calcular y mostrar alertas de cumplimiento relativas a: consentimiento inválido para biometría (Art. 16 BIS), EIPD obligatoria para datos sensibles, plazos de notificación de brechas (Art. 14 bis, 72h) y transferencias internacionales (Art. 28).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RNF-022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El sistema debe permitir la exportación del RAT en formato compatible con la APDC (formato CNI).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RNF-023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El sistema debe permitir el ejercicio de los derechos ARCO por parte de los titulares (Art. 14 y 16 bis).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RNF-024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  <w:u w:val="single"/>
              </w:rPr>
              <w:t>El sistema debe enmascarar PII en logs (email, RUT, IP, tokens, contraseñas) mediante PIIMaskingFilter en logging_config.py (audit v1.2, C2).</w:t>
            </w:r>
          </w:p>
        </w:tc>
      </w:tr>
    </w:tbl>
    <w:p>
      <w:pPr>
        <w:pStyle w:val="Heading2"/>
      </w:pPr>
      <w:r>
        <w:t>4.4 Usabilidad y accesibilidad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788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RNF-030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La interfaz debe ser responsive: el sidebar debe colapsar a un menú hamburguesa en pantallas menores a 768 px.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RNF-031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La interfaz debe ser navegable íntegramente con teclado en los flujos principales: login, wizard RAT, formulario ARCO, dashboard.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RNF-032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El sistema debe proporcionar retroalimentación visual inmediata mediante toasts (Sonner) en operaciones exitosas y erróneas.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RNF-033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El sistema debe proporcionar un wizard de 4 pasos con barra de progreso para la creación y edición de RATs.</w:t>
            </w:r>
          </w:p>
        </w:tc>
      </w:tr>
    </w:tbl>
    <w:p>
      <w:pPr>
        <w:pStyle w:val="Heading2"/>
      </w:pPr>
      <w:r>
        <w:t>4.5 Mantenibilidad y calidad de código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788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RNF-040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El backend debe mantener una cobertura de tests mínima del 80% en endpoints críticos (auth, companies, rats, brechas, export).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RNF-041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El código del backend debe seguir el patrón: rutas (routes/) → servicios (services/) → modelos (models/), con schemas Pydantic separados.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RNF-042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El frontend debe mantener tipado estricto TypeScript (strict mode habilitado).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RNF-043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El sistema debe poder migrar la base de datos de SQLite (local) a PostgreSQL (Neon) sin pérdida de datos, mediante el script migrate_to_neon.py.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RNF-044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  <w:u w:val="single"/>
              </w:rPr>
              <w:t>El sistema debe adoptar el patrón Repository (app/repositories/base.py + rat_repository.py) para separar lógica de acceso a datos (audit v1.2, A5).</w:t>
            </w:r>
          </w:p>
        </w:tc>
      </w:tr>
    </w:tbl>
    <w:p>
      <w:pPr>
        <w:pStyle w:val="Heading2"/>
      </w:pPr>
      <w:r>
        <w:t>4.6 Internacionalización y formatos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788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RNF-050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El sistema debe validar RUT chileno con dígito verificador (módulo 11) y formatearlo con puntos y guión.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RNF-051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Baja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El sistema debe almacenar fechas en UTC y mostrarlas en la zona horaria del usuario (por defecto America/Santiago).</w:t>
            </w:r>
          </w:p>
        </w:tc>
      </w:tr>
    </w:tbl>
    <w:p>
      <w:pPr>
        <w:pStyle w:val="Heading1"/>
      </w:pPr>
      <w:r>
        <w:t>5. Restricciones y supuestos</w:t>
      </w:r>
    </w:p>
    <w:p>
      <w:r>
        <w:rPr>
          <w:sz w:val="22"/>
        </w:rPr>
        <w:t>El sistema opera bajo las siguientes restricciones y supuestos: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Restricción de plataforma: </w:t>
      </w:r>
      <w:r>
        <w:rPr>
          <w:sz w:val="22"/>
        </w:rPr>
        <w:t>La aplicación se despliega como funciones serverless en Vercel; por tanto, el tiempo máximo de ejecución por request es de 60 s (hobby) o 300 s (pro).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Almacenamiento: </w:t>
      </w:r>
      <w:r>
        <w:rPr>
          <w:sz w:val="22"/>
        </w:rPr>
        <w:t>El almacenamiento de archivos binarios (documentos de base legal) se realiza en la propia base de datos (BYTEA en PostgreSQL / BLOB en SQLite), con un límite práctico de 5 MB por archivo.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Archivos grandes: </w:t>
      </w:r>
      <w:r>
        <w:rPr>
          <w:sz w:val="22"/>
        </w:rPr>
        <w:t>La carga de archivos pesados (videos, datasets) no está soportada en el MVP; se recomienda migrar a un servicio de objetos (S3) en V2.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Disponibilidad: </w:t>
      </w:r>
      <w:r>
        <w:rPr>
          <w:sz w:val="22"/>
        </w:rPr>
        <w:t>El sistema depende de Neon PostgreSQL en producción; la indisponibilidad de la base de datos impide todas las operaciones excepto la página de login.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Marco legal: </w:t>
      </w:r>
      <w:r>
        <w:rPr>
          <w:sz w:val="22"/>
        </w:rPr>
        <w:t>Se asume que la fecha de entrada en vigencia general de la Ley 21.719 es el 1 de diciembre de 2026 (período de adaptación).</w:t>
      </w:r>
    </w:p>
    <w:p>
      <w:pPr>
        <w:pStyle w:val="Heading1"/>
      </w:pPr>
      <w:r>
        <w:t>6. Trazabilidad</w:t>
      </w:r>
    </w:p>
    <w:p>
      <w:r>
        <w:rPr>
          <w:sz w:val="22"/>
        </w:rPr>
        <w:t>La trazabilidad detallada entre requisitos, historias de usuario, casos de uso y casos de prueba se publica en el documento CUST-DOC-MTX (Matriz de Trazabilidad). El siguiente es un resumen de cobertura: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Cobertura RF → HU: </w:t>
      </w:r>
      <w:r>
        <w:rPr>
          <w:sz w:val="22"/>
        </w:rPr>
        <w:t>El 100% de los requisitos RF-### están enlazados a al menos una historia de usuario (HU-###) en el documento CUST-DOC-03.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Cobertura RF → CU: </w:t>
      </w:r>
      <w:r>
        <w:rPr>
          <w:sz w:val="22"/>
        </w:rPr>
        <w:t>El 100% de los requisitos RF-### están enlazados a al menos un caso de uso (CU-###) en el documento CUST-DOC-04.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Cobertura RF → TC: </w:t>
      </w:r>
      <w:r>
        <w:rPr>
          <w:sz w:val="22"/>
        </w:rPr>
        <w:t>El 100% de los requisitos RF-### y RNF-### cuentan con al menos un caso de prueba (TC-###) en el documento CUST-DOC-10.</w:t>
      </w:r>
    </w:p>
    <w:p>
      <w:pPr>
        <w:pStyle w:val="Heading1"/>
      </w:pPr>
      <w:r>
        <w:t>Apéndice A — Vacíos de información</w:t>
      </w:r>
    </w:p>
    <w:p>
      <w:r>
        <w:rPr>
          <w:i/>
          <w:sz w:val="22"/>
        </w:rPr>
        <w:t>Las siguientes preguntas quedan abiertas al equipo de producto o al Product Owner para ser resueltas en próximas iteraciones:</w:t>
      </w:r>
    </w:p>
    <w:p>
      <w:pPr>
        <w:pStyle w:val="ListBullet"/>
        <w:spacing w:after="40"/>
        <w:ind w:left="340"/>
      </w:pPr>
      <w:r>
        <w:rPr>
          <w:sz w:val="22"/>
        </w:rPr>
        <w:t>¿Existen requisitos no documentados en el código que provengan de tickets internos o feedback de clientes?</w:t>
      </w:r>
    </w:p>
    <w:p>
      <w:pPr>
        <w:pStyle w:val="ListBullet"/>
        <w:spacing w:after="40"/>
        <w:ind w:left="340"/>
      </w:pPr>
      <w:r>
        <w:rPr>
          <w:sz w:val="22"/>
        </w:rPr>
        <w:t>¿Cuál es la política de retención de los datos personales de los titulares una vez finalizado el tratamiento?</w:t>
      </w:r>
    </w:p>
    <w:p>
      <w:pPr>
        <w:pStyle w:val="ListBullet"/>
        <w:spacing w:after="40"/>
        <w:ind w:left="340"/>
      </w:pPr>
      <w:r>
        <w:rPr>
          <w:sz w:val="22"/>
        </w:rPr>
        <w:t>¿El sistema debe integrarse con la APDC vía API en el futuro (V2)?</w:t>
      </w:r>
    </w:p>
    <w:p>
      <w:pPr>
        <w:pStyle w:val="ListBullet"/>
        <w:spacing w:after="40"/>
        <w:ind w:left="340"/>
      </w:pPr>
      <w:r>
        <w:rPr>
          <w:sz w:val="22"/>
        </w:rPr>
        <w:t>¿Se requiere multi-idioma (inglés) en el formulario público de derechos ARCO?</w:t>
      </w:r>
    </w:p>
    <w:p>
      <w:pPr>
        <w:pStyle w:val="Heading1"/>
      </w:pPr>
      <w:r>
        <w:t>Apéndice B — Riesgos identificados</w:t>
      </w:r>
    </w:p>
    <w:p>
      <w:r>
        <w:rPr>
          <w:i/>
          <w:sz w:val="22"/>
        </w:rPr>
        <w:t>Riesgos detectados durante la auditoría documental y técnica:</w:t>
      </w:r>
    </w:p>
    <w:p>
      <w:pPr>
        <w:spacing w:before="80" w:after="40"/>
      </w:pPr>
      <w:r>
        <w:rPr>
          <w:b/>
          <w:i/>
          <w:color w:val="1F497D"/>
          <w:sz w:val="18"/>
        </w:rPr>
        <w:t xml:space="preserve">Tabla 1 — </w:t>
      </w:r>
      <w:r>
        <w:rPr>
          <w:i/>
          <w:color w:val="404040"/>
          <w:sz w:val="18"/>
        </w:rPr>
        <w:t>Riesgos identificados durante la auditoría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737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Severidad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R-RF-01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Riesgo de obsolescencia de la numeración: si se reordena o fusiona un requisito, los IDs históricos pueden quedar desligados de la trazabilidad.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Bajo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R-RF-02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Riesgo de inconsistencia entre 'is_admin' (legacy) y 'rol_global' (canónico). El sistema conserva ambos por compatibilidad, lo que podría generar confusión en mantenimientos futuros.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Medio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R-RF-03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Riesgo de fuga de información por la regex CORS amplia 'https://.*\.vercel\.app': cualquier subdominio de Vercel es aceptado, lo que incluye deployments de fork o de terceros.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R-RF-04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_Riesgo de auditoría comprometida: sin hash chain, un atacante con acceso a la BD podría modificar registros de auditoría sin detección (mitigado en v1.2 con hash chain)._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_Alto_</w:t>
            </w:r>
          </w:p>
        </w:tc>
      </w:tr>
    </w:tbl>
    <w:p>
      <w:pPr>
        <w:pStyle w:val="Heading1"/>
      </w:pPr>
      <w:r>
        <w:t>Apéndice C — Índice de identificadores</w:t>
      </w:r>
    </w:p>
    <w:p>
      <w:r>
        <w:rPr>
          <w:i/>
          <w:sz w:val="22"/>
        </w:rPr>
        <w:t>Identificadores únicos referenciados a lo largo del documento: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5669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RF-###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Requisito Funcional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Capacidad observable del sistema que satisface una necesidad del usuario.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RNF-###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Requisito No Funcional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Restricción de calidad, seguridad, rendimiento, compliance, etc.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AC-###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Actor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Persona, sistema o servicio que interactúa con el sistema.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HU-###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Historia de Usuario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Necesidad del usuario en formato 'Como/Quiero/Para'.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CU-###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Caso de Uso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Interacción actor-sistema con flujos principal y alternativo.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TC-###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Caso de Prueba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Verificación de un requisito con datos de entrada y resultado esperado.</w:t>
            </w:r>
          </w:p>
        </w:tc>
      </w:tr>
    </w:tbl>
    <w:p/>
    <w:p>
      <w:pPr>
        <w:jc w:val="center"/>
      </w:pPr>
      <w:r>
        <w:rPr>
          <w:i/>
          <w:color w:val="808080"/>
          <w:sz w:val="20"/>
        </w:rPr>
        <w:t>—  Fin del documento 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417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3169"/>
      <w:gridCol w:w="3402"/>
    </w:tblGrid>
    <w:tr>
      <w:tc>
        <w:tcPr>
          <w:tcW w:type="dxa" w:w="3402"/>
        </w:tcPr>
        <w:p>
          <w:pPr>
            <w:jc w:val="left"/>
          </w:pPr>
          <w:r>
            <w:rPr>
              <w:color w:val="808080"/>
              <w:sz w:val="16"/>
            </w:rPr>
            <w:t>Custodio RAT Manager · Ley 21.719</w:t>
          </w:r>
        </w:p>
      </w:tc>
      <w:tc>
        <w:tcPr>
          <w:tcW w:type="dxa" w:w="3169"/>
        </w:tcPr>
        <w:p>
          <w:pPr>
            <w:jc w:val="center"/>
          </w:pPr>
          <w:r>
            <w:rPr>
              <w:color w:val="808080"/>
              <w:sz w:val="16"/>
            </w:rPr>
            <w:t xml:space="preserve">Página </w:t>
          </w:r>
          <w:r>
            <w:rPr>
              <w:color w:val="808080"/>
              <w:sz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808080"/>
              <w:sz w:val="16"/>
            </w:rPr>
            <w:t xml:space="preserve"> de </w:t>
          </w:r>
          <w:r>
            <w:rPr>
              <w:color w:val="808080"/>
              <w:sz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  <w:tc>
        <w:tcPr>
          <w:tcW w:type="dxa" w:w="3402"/>
        </w:tcPr>
        <w:p>
          <w:pPr>
            <w:jc w:val="right"/>
          </w:pPr>
          <w:r>
            <w:rPr>
              <w:color w:val="808080"/>
              <w:sz w:val="16"/>
            </w:rPr>
            <w:t>Interno — Confidencial  ·  Levantamiento de Requisitos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69"/>
      <w:gridCol w:w="4303"/>
    </w:tblGrid>
    <w:tr>
      <w:tc>
        <w:tcPr>
          <w:tcW w:type="dxa" w:w="5669"/>
        </w:tcPr>
        <w:p>
          <w:pPr>
            <w:jc w:val="left"/>
            <w:pBdr>
              <w:bottom w:val="single" w:sz="6" w:space="1" w:color="1F497D"/>
            </w:pBdr>
          </w:pPr>
          <w:r>
            <w:rPr>
              <w:b/>
              <w:color w:val="1F497D"/>
              <w:sz w:val="18"/>
            </w:rPr>
            <w:t xml:space="preserve">▣  CUSTODIO  </w:t>
          </w:r>
          <w:r>
            <w:rPr>
              <w:color w:val="404040"/>
              <w:sz w:val="18"/>
            </w:rPr>
            <w:t>·  Levantamiento de Requisitos</w:t>
          </w:r>
        </w:p>
      </w:tc>
      <w:tc>
        <w:tcPr>
          <w:tcW w:type="dxa" w:w="4303"/>
        </w:tcPr>
        <w:p>
          <w:pPr>
            <w:jc w:val="right"/>
          </w:pPr>
          <w:r>
            <w:rPr>
              <w:color w:val="808080"/>
              <w:sz w:val="18"/>
            </w:rPr>
            <w:t>v1.2  ·  Junio 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040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