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 en formato formal.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técnica: se agregan CU-033 a CU-038 para módulos de Consentimientos y Tickets ARCO detallados._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del sistema Custodio RAT Manager en formato formal. Cada caso de uso incluye: identificador único (CU-###), nombre, actores, precondiciones, flujo principal, flujos alternativos y resultado esperado. Los casos de uso están trazados con los requisitos funcionales (RF-###) del documento CUST-DOC-02.</w:t>
      </w:r>
    </w:p>
    <w:p>
      <w:pPr>
        <w:pStyle w:val="Heading1"/>
      </w:pPr>
      <w:r>
        <w:t>2. Listado consolidado de casos de uso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Logout con blacklist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binaria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/rats/export/csv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/rats/{id}/auditoria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/rats/{id}/consentimientos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/tkt-solicitud-derecho/{id}/historial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CU-010 — Crear proceso RAT (wizard de 4 pasos)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Crear proceso RAT (wizard de 4 pasos)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Usuario regular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y la empresa activa está seleccionada.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sección 'Procesos RAT' y pulsa '+ Nuevo proceso'.</w:t>
      </w:r>
    </w:p>
    <w:p>
      <w:pPr>
        <w:pStyle w:val="ListNumber"/>
        <w:spacing w:after="40"/>
      </w:pPr>
      <w:r>
        <w:rPr>
          <w:sz w:val="22"/>
        </w:rPr>
        <w:t>El sistema abre un wizard de 4 pasos: Identificación, Datos tratados, Finalidad y base legal, Almacenamiento y transferencias.</w:t>
      </w:r>
    </w:p>
    <w:p>
      <w:pPr>
        <w:pStyle w:val="ListNumber"/>
        <w:spacing w:after="40"/>
      </w:pPr>
      <w:r>
        <w:rPr>
          <w:sz w:val="22"/>
        </w:rPr>
        <w:t>PASO 1 — El usuario completa: nombre del proceso, categoría de titulares, fuente de los datos, destinatarios, encargado del tratamiento.</w:t>
      </w:r>
    </w:p>
    <w:p>
      <w:pPr>
        <w:pStyle w:val="ListNumber"/>
        <w:spacing w:after="40"/>
      </w:pPr>
      <w:r>
        <w:rPr>
          <w:sz w:val="22"/>
        </w:rPr>
        <w:t>PASO 2 — El usuario completa: categoría de datos tratados, marca 'datos sensibles' (y tipo), marca 'requiere EIPD', marca 'decisiones automatizadas'.</w:t>
      </w:r>
    </w:p>
    <w:p>
      <w:pPr>
        <w:pStyle w:val="ListNumber"/>
        <w:spacing w:after="40"/>
      </w:pPr>
      <w:r>
        <w:rPr>
          <w:sz w:val="22"/>
        </w:rPr>
        <w:t>PASO 3 — El usuario completa: finalidad, base legal (selección de 6 opciones); si elige 'interés legítimo', se exige el test de 3 pasos.</w:t>
      </w:r>
    </w:p>
    <w:p>
      <w:pPr>
        <w:pStyle w:val="ListNumber"/>
        <w:spacing w:after="40"/>
      </w:pPr>
      <w:r>
        <w:rPr>
          <w:sz w:val="22"/>
        </w:rPr>
        <w:t>PASO 4 — El usuario completa: plazo de retención, medidas de seguridad, marca 'transferencia internacional' (con país y garantías).</w:t>
      </w:r>
    </w:p>
    <w:p>
      <w:pPr>
        <w:pStyle w:val="ListNumber"/>
        <w:spacing w:after="40"/>
      </w:pPr>
      <w:r>
        <w:rPr>
          <w:sz w:val="22"/>
        </w:rPr>
        <w:t>El usuario revisa el resumen expandible y pulsa 'Guardar en el RAT'.</w:t>
      </w:r>
    </w:p>
    <w:p>
      <w:pPr>
        <w:pStyle w:val="ListNumber"/>
        <w:spacing w:after="40"/>
      </w:pPr>
      <w:r>
        <w:rPr>
          <w:sz w:val="22"/>
        </w:rPr>
        <w:t>El sistema valida el cuerpo con Pydantic, persiste el registro, calcula completitud y nivel de riesgo, y registra el evento 'crear' en audit_log.</w:t>
      </w:r>
    </w:p>
    <w:p>
      <w:pPr>
        <w:pStyle w:val="ListNumber"/>
        <w:spacing w:after="40"/>
      </w:pPr>
      <w:r>
        <w:rPr>
          <w:sz w:val="22"/>
        </w:rPr>
        <w:t>El sistema cierra el wizard y refresca la tabla de RATs.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usuario abandona el wizard a mitad de camino:</w:t>
      </w:r>
    </w:p>
    <w:p>
      <w:pPr>
        <w:pStyle w:val="ListNumber"/>
        <w:spacing w:after="40"/>
      </w:pPr>
      <w:r>
        <w:rPr>
          <w:sz w:val="22"/>
        </w:rPr>
        <w:t>El sistema descarta los datos parciales sin persistir nada.</w:t>
      </w:r>
    </w:p>
    <w:p>
      <w:r>
        <w:rPr>
          <w:b/>
          <w:sz w:val="22"/>
        </w:rPr>
        <w:t>B) Si la base legal no es 'Otra' y no se adjuntó documento de respaldo:</w:t>
      </w:r>
    </w:p>
    <w:p>
      <w:pPr>
        <w:pStyle w:val="ListNumber"/>
        <w:spacing w:after="40"/>
      </w:pPr>
      <w:r>
        <w:rPr>
          <w:sz w:val="22"/>
        </w:rPr>
        <w:t>El sistema persiste el RAT, pero aplica una penalización de -1 a la completitud (regla RN-03).</w:t>
      </w:r>
    </w:p>
    <w:p>
      <w:r>
        <w:rPr>
          <w:b/>
          <w:sz w:val="22"/>
        </w:rPr>
        <w:t>C) Si el usuario marca 'datos sensibles' = 'biométrico':</w:t>
      </w:r>
    </w:p>
    <w:p>
      <w:pPr>
        <w:pStyle w:val="ListNumber"/>
        <w:spacing w:after="40"/>
      </w:pPr>
      <w:r>
        <w:rPr>
          <w:sz w:val="22"/>
        </w:rPr>
        <w:t>El sistema sugiere una EIPD obligatoria (Art. 16 BIS) y marca estado_eipd='pendiente'.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Se crea un nuevo RAT en estado 'borrador' con todos los campos ingresados, su porcentaje de completitud calculado, su nivel de riesgo calculado, y un registro de auditoría con timestamp, usuario e IP.</w:t>
      </w:r>
    </w:p>
    <w:p>
      <w:pPr>
        <w:pStyle w:val="Heading2"/>
      </w:pPr>
      <w:r>
        <w:t>CU-014 — Aprobar proceso 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Aprobar proceso RAT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como admin_empresa o superadmin; el RAT objetivo existe y pertenece a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detalle del RAT (drawer o página de edición).</w:t>
      </w:r>
    </w:p>
    <w:p>
      <w:pPr>
        <w:pStyle w:val="ListNumber"/>
        <w:spacing w:after="40"/>
      </w:pPr>
      <w:r>
        <w:rPr>
          <w:sz w:val="22"/>
        </w:rPr>
        <w:t>El usuario revisa los campos y la auditoría.</w:t>
      </w:r>
    </w:p>
    <w:p>
      <w:pPr>
        <w:pStyle w:val="ListNumber"/>
        <w:spacing w:after="40"/>
      </w:pPr>
      <w:r>
        <w:rPr>
          <w:sz w:val="22"/>
        </w:rPr>
        <w:t>El usuario pulsa 'Aprobar'.</w:t>
      </w:r>
    </w:p>
    <w:p>
      <w:pPr>
        <w:pStyle w:val="ListNumber"/>
        <w:spacing w:after="40"/>
      </w:pPr>
      <w:r>
        <w:rPr>
          <w:sz w:val="22"/>
        </w:rPr>
        <w:t>El sistema valida permisos (admin_empresa o superadmin).</w:t>
      </w:r>
    </w:p>
    <w:p>
      <w:pPr>
        <w:pStyle w:val="ListNumber"/>
        <w:spacing w:after="40"/>
      </w:pPr>
      <w:r>
        <w:rPr>
          <w:sz w:val="22"/>
        </w:rPr>
        <w:t>El sistema cambia el estado del RAT a 'aprobado', registra aprobado_por (username) y fecha_aprobacion.</w:t>
      </w:r>
    </w:p>
    <w:p>
      <w:pPr>
        <w:pStyle w:val="ListNumber"/>
        <w:spacing w:after="40"/>
      </w:pPr>
      <w:r>
        <w:rPr>
          <w:sz w:val="22"/>
        </w:rPr>
        <w:t>El sistema registra el evento 'aprobar' en audit_log.</w:t>
      </w:r>
    </w:p>
    <w:p>
      <w:pPr>
        <w:pStyle w:val="ListNumber"/>
        <w:spacing w:after="40"/>
      </w:pPr>
      <w:r>
        <w:rPr>
          <w:sz w:val="22"/>
        </w:rPr>
        <w:t>El sistema notifica al usuario (toast) y refresca la vista.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RAT no está suficientemente completo:</w:t>
      </w:r>
    </w:p>
    <w:p>
      <w:pPr>
        <w:pStyle w:val="ListNumber"/>
        <w:spacing w:after="40"/>
      </w:pPr>
      <w:r>
        <w:rPr>
          <w:sz w:val="22"/>
        </w:rPr>
        <w:t>El sistema permite la aprobación, pero el frontend muestra una advertencia. La decisión es del aprobador.</w:t>
      </w:r>
    </w:p>
    <w:p>
      <w:r>
        <w:rPr>
          <w:b/>
          <w:sz w:val="22"/>
        </w:rPr>
        <w:t>B) Si el usuario no es admin:</w:t>
      </w:r>
    </w:p>
    <w:p>
      <w:pPr>
        <w:pStyle w:val="ListNumber"/>
        <w:spacing w:after="40"/>
      </w:pPr>
      <w:r>
        <w:rPr>
          <w:sz w:val="22"/>
        </w:rPr>
        <w:t>El sistema retorna HTTP 403 'No tiene acceso a este RAT'.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RAT queda en estado 'aprobado' con la identidad del aprobador y la fecha registradas; el evento queda en la auditoría.</w:t>
      </w:r>
    </w:p>
    <w:p>
      <w:pPr>
        <w:pStyle w:val="Heading2"/>
      </w:pPr>
      <w:r>
        <w:t>CU-021 — Registrar brecha de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autenticado; existe al menos una empresa registrada.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sección 'Brechas' y pulsa '+ Nueva brecha'.</w:t>
      </w:r>
    </w:p>
    <w:p>
      <w:pPr>
        <w:pStyle w:val="ListNumber"/>
        <w:spacing w:after="40"/>
      </w:pPr>
      <w:r>
        <w:rPr>
          <w:sz w:val="22"/>
        </w:rPr>
        <w:t>El sistema muestra un formulario con campos: descripción, fecha y hora de detección, RATs afectados, datos comprometidos, medidas adoptadas, notificación APDC (boolean + fecha), notificación titulares (boolean + fecha).</w:t>
      </w:r>
    </w:p>
    <w:p>
      <w:pPr>
        <w:pStyle w:val="ListNumber"/>
        <w:spacing w:after="40"/>
      </w:pPr>
      <w:r>
        <w:rPr>
          <w:sz w:val="22"/>
        </w:rPr>
        <w:t>El usuario completa el formulario y pulsa 'Registrar'.</w:t>
      </w:r>
    </w:p>
    <w:p>
      <w:pPr>
        <w:pStyle w:val="ListNumber"/>
        <w:spacing w:after="40"/>
      </w:pPr>
      <w:r>
        <w:rPr>
          <w:sz w:val="22"/>
        </w:rPr>
        <w:t>El sistema persiste la brecha con el username del creador.</w:t>
      </w:r>
    </w:p>
    <w:p>
      <w:pPr>
        <w:pStyle w:val="ListNumber"/>
        <w:spacing w:after="40"/>
      </w:pPr>
      <w:r>
        <w:rPr>
          <w:sz w:val="22"/>
        </w:rPr>
        <w:t>El sistema calcula horas_desde_deteccion (ahora - fecha_deteccion) y plazo_apdc_vencido (true si &gt; 72h sin notificar).</w:t>
      </w:r>
    </w:p>
    <w:p>
      <w:pPr>
        <w:pStyle w:val="ListNumber"/>
        <w:spacing w:after="40"/>
      </w:pPr>
      <w:r>
        <w:rPr>
          <w:sz w:val="22"/>
        </w:rPr>
        <w:t>El sistema añade la brecha al listado y refresca el dashboard con la alerta si corresponde.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han transcurrido más de 72h y no se notificó a la APDC:</w:t>
      </w:r>
    </w:p>
    <w:p>
      <w:pPr>
        <w:pStyle w:val="ListNumber"/>
        <w:spacing w:after="40"/>
      </w:pPr>
      <w:r>
        <w:rPr>
          <w:sz w:val="22"/>
        </w:rPr>
        <w:t>El sistema marca plazo_apdc_vencido=true y la tarjeta de la brecha se muestra con borde rojo.</w:t>
      </w:r>
    </w:p>
    <w:p>
      <w:r>
        <w:rPr>
          <w:b/>
          <w:sz w:val="22"/>
        </w:rPr>
        <w:t>B) Si la brecha afecta a RATs con datos sensibles o de menores:</w:t>
      </w:r>
    </w:p>
    <w:p>
      <w:pPr>
        <w:pStyle w:val="ListNumber"/>
        <w:spacing w:after="40"/>
      </w:pPr>
      <w:r>
        <w:rPr>
          <w:sz w:val="22"/>
        </w:rPr>
        <w:t>El sistema eleva la prioridad y muestra una alerta específica en el dashboard.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brecha queda registrada con todos los datos y los plazos calculados. Si el plazo APDC está vencido, se refleja en la tarjeta.</w:t>
      </w:r>
    </w:p>
    <w:p>
      <w:pPr>
        <w:pStyle w:val="Heading2"/>
      </w:pPr>
      <w:r>
        <w:t>CU-024 — Crear solicitud ARCO (formulario público)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Crear solicitud ARCO (formulario público)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Titular de datos (externo)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titular accede a /solicitud_derecho, completa el captcha de token y rellena el formulario.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titular llega a la URL pública /solicitud_derecho.</w:t>
      </w:r>
    </w:p>
    <w:p>
      <w:pPr>
        <w:pStyle w:val="ListNumber"/>
        <w:spacing w:after="40"/>
      </w:pPr>
      <w:r>
        <w:rPr>
          <w:sz w:val="22"/>
        </w:rPr>
        <w:t>El frontend solicita un token temporal (GET /solicitudes-derecho/token) con rate limit 5/min.</w:t>
      </w:r>
    </w:p>
    <w:p>
      <w:pPr>
        <w:pStyle w:val="ListNumber"/>
        <w:spacing w:after="40"/>
      </w:pPr>
      <w:r>
        <w:rPr>
          <w:sz w:val="22"/>
        </w:rPr>
        <w:t>El titular selecciona la empresa destinataria, el tipo (Acceso/Rectificación/Cancelación/Oposición), completa nombre, RUT (validado), email y descripción (máx. 2000 caracteres).</w:t>
      </w:r>
    </w:p>
    <w:p>
      <w:pPr>
        <w:pStyle w:val="ListNumber"/>
        <w:spacing w:after="40"/>
      </w:pPr>
      <w:r>
        <w:rPr>
          <w:sz w:val="22"/>
        </w:rPr>
        <w:t>El titular envía el formulario.</w:t>
      </w:r>
    </w:p>
    <w:p>
      <w:pPr>
        <w:pStyle w:val="ListNumber"/>
        <w:spacing w:after="40"/>
      </w:pPr>
      <w:r>
        <w:rPr>
          <w:sz w:val="22"/>
        </w:rPr>
        <w:t>El frontend valida con Zod y envía POST /solicitudes-derecho con el token.</w:t>
      </w:r>
    </w:p>
    <w:p>
      <w:pPr>
        <w:pStyle w:val="ListNumber"/>
        <w:spacing w:after="40"/>
      </w:pPr>
      <w:r>
        <w:rPr>
          <w:sz w:val="22"/>
        </w:rPr>
        <w:t>El backend valida el token (existencia, no usado, &lt; 5 min), crea la solicitud en estado 'pendiente' y crea automáticamente un ticket TktSolicitudDerecho vinculado.</w:t>
      </w:r>
    </w:p>
    <w:p>
      <w:pPr>
        <w:pStyle w:val="ListNumber"/>
        <w:spacing w:after="40"/>
      </w:pPr>
      <w:r>
        <w:rPr>
          <w:sz w:val="22"/>
        </w:rPr>
        <w:t>El sistema responde al titular con un mensaje de confirmación.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token es inválido o expirado:</w:t>
      </w:r>
    </w:p>
    <w:p>
      <w:pPr>
        <w:pStyle w:val="ListNumber"/>
        <w:spacing w:after="40"/>
      </w:pPr>
      <w:r>
        <w:rPr>
          <w:sz w:val="22"/>
        </w:rPr>
        <w:t>El backend retorna 400 'Token inválido o expirado'. El frontend pide un nuevo token y avisa al titular.</w:t>
      </w:r>
    </w:p>
    <w:p>
      <w:r>
        <w:rPr>
          <w:b/>
          <w:sz w:val="22"/>
        </w:rPr>
        <w:t>B) Si el email no es válido:</w:t>
      </w:r>
    </w:p>
    <w:p>
      <w:pPr>
        <w:pStyle w:val="ListNumber"/>
        <w:spacing w:after="40"/>
      </w:pPr>
      <w:r>
        <w:rPr>
          <w:sz w:val="22"/>
        </w:rPr>
        <w:t>Pydantic rechaza la petición con 422 antes de tocar la base de datos.</w:t>
      </w:r>
    </w:p>
    <w:p>
      <w:r>
        <w:rPr>
          <w:b/>
          <w:sz w:val="22"/>
        </w:rPr>
        <w:t>C) Si el rate limit del token o de la creación es excedido:</w:t>
      </w:r>
    </w:p>
    <w:p>
      <w:pPr>
        <w:pStyle w:val="ListNumber"/>
        <w:spacing w:after="40"/>
      </w:pPr>
      <w:r>
        <w:rPr>
          <w:sz w:val="22"/>
        </w:rPr>
        <w:t>El backend retorna 429 'Demasiados intentos'.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solicitud queda persistida con estado 'pendiente' y se ha creado un ticket TKT asociado. La empresa destinataria ve la solicitud en su panel.</w:t>
      </w:r>
    </w:p>
    <w:p>
      <w:pPr>
        <w:pStyle w:val="Heading2"/>
      </w:pPr>
      <w:r>
        <w:t>CU-026 — Gestionar ticket TKT de solicitud 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Gestionar ticket TKT de solicitud ARCO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ticket TKT creado (vía CU-024 o manualmente).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/tkt_solicitud_derecho.</w:t>
      </w:r>
    </w:p>
    <w:p>
      <w:pPr>
        <w:pStyle w:val="ListNumber"/>
        <w:spacing w:after="40"/>
      </w:pPr>
      <w:r>
        <w:rPr>
          <w:sz w:val="22"/>
        </w:rPr>
        <w:t>El sistema lista los tickets de la empresa activa con badges de estado, prioridad y SLA (color según días restantes).</w:t>
      </w:r>
    </w:p>
    <w:p>
      <w:pPr>
        <w:pStyle w:val="ListNumber"/>
        <w:spacing w:after="40"/>
      </w:pPr>
      <w:r>
        <w:rPr>
          <w:sz w:val="22"/>
        </w:rPr>
        <w:t>El usuario abre un ticket para ver su detalle, notas, historial y adjuntos.</w:t>
      </w:r>
    </w:p>
    <w:p>
      <w:pPr>
        <w:pStyle w:val="ListNumber"/>
        <w:spacing w:after="40"/>
      </w:pPr>
      <w:r>
        <w:rPr>
          <w:sz w:val="22"/>
        </w:rPr>
        <w:t>El usuario puede: cambiar estado (PATCH), cambiar prioridad, asignar responsable, agregar nota (POST /notas), adjuntar archivo, escribir respuesta.</w:t>
      </w:r>
    </w:p>
    <w:p>
      <w:pPr>
        <w:pStyle w:val="ListNumber"/>
        <w:spacing w:after="40"/>
      </w:pPr>
      <w:r>
        <w:rPr>
          <w:sz w:val="22"/>
        </w:rPr>
        <w:t>Al responder, el ticket pasa a 'resuelto' y se registra fecha_respuesta.</w:t>
      </w:r>
    </w:p>
    <w:p>
      <w:pPr>
        <w:pStyle w:val="ListNumber"/>
        <w:spacing w:after="40"/>
      </w:pPr>
      <w:r>
        <w:rPr>
          <w:sz w:val="22"/>
        </w:rPr>
        <w:t>El sistema registra cada cambio de estado en tkt_historial.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usuario intenta cambiar un ticket de otra empresa:</w:t>
      </w:r>
    </w:p>
    <w:p>
      <w:pPr>
        <w:pStyle w:val="ListNumber"/>
        <w:spacing w:after="40"/>
      </w:pPr>
      <w:r>
        <w:rPr>
          <w:sz w:val="22"/>
        </w:rPr>
        <w:t>El backend retorna HTTP 403 'No tiene acceso a este ticket'.</w:t>
      </w:r>
    </w:p>
    <w:p>
      <w:r>
        <w:rPr>
          <w:b/>
          <w:sz w:val="22"/>
        </w:rPr>
        <w:t>B) Si el SLA está vencido:</w:t>
      </w:r>
    </w:p>
    <w:p>
      <w:pPr>
        <w:pStyle w:val="ListNumber"/>
        <w:spacing w:after="40"/>
      </w:pPr>
      <w:r>
        <w:rPr>
          <w:sz w:val="22"/>
        </w:rPr>
        <w:t>El sistema muestra sla_color='rojo' y estado_sla='vencido'.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ticket queda actualizado y el historial registra todos los cambios. Si se respondió, queda en estado 'resuelto' con fecha de respuesta.</w:t>
      </w:r>
    </w:p>
    <w:p>
      <w:pPr>
        <w:pStyle w:val="Heading2"/>
      </w:pPr>
      <w:r>
        <w:t>CU-029 — Consultar chat IA contextual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CU-029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Consultar chat IA contextual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Cualquier usuario autenticado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autenticado. Existe al menos una API key configurada (MINIMAX_API_KEY u OPENAI_API_KEY).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chat flotante en la esquina inferior derecha de /reportes.</w:t>
      </w:r>
    </w:p>
    <w:p>
      <w:pPr>
        <w:pStyle w:val="ListNumber"/>
        <w:spacing w:after="40"/>
      </w:pPr>
      <w:r>
        <w:rPr>
          <w:sz w:val="22"/>
        </w:rPr>
        <w:t>El usuario escribe una pregunta sobre la Ley 21.719 y opcionalmente selecciona contexto.</w:t>
      </w:r>
    </w:p>
    <w:p>
      <w:pPr>
        <w:pStyle w:val="ListNumber"/>
        <w:spacing w:after="40"/>
      </w:pPr>
      <w:r>
        <w:rPr>
          <w:sz w:val="22"/>
        </w:rPr>
        <w:t>El frontend envía POST /ai/ask con la pregunta y el contexto.</w:t>
      </w:r>
    </w:p>
    <w:p>
      <w:pPr>
        <w:pStyle w:val="ListNumber"/>
        <w:spacing w:after="40"/>
      </w:pPr>
      <w:r>
        <w:rPr>
          <w:sz w:val="22"/>
        </w:rPr>
        <w:t>El backend construye el prompt con el system prompt (experto en Ley 21.719) y la pregunta del usuario.</w:t>
      </w:r>
    </w:p>
    <w:p>
      <w:pPr>
        <w:pStyle w:val="ListNumber"/>
        <w:spacing w:after="40"/>
      </w:pPr>
      <w:r>
        <w:rPr>
          <w:sz w:val="22"/>
        </w:rPr>
        <w:t>El backend llama al proveedor de IA (prioridad MINIMAX, fallback OpenAI).</w:t>
      </w:r>
    </w:p>
    <w:p>
      <w:pPr>
        <w:pStyle w:val="ListNumber"/>
        <w:spacing w:after="40"/>
      </w:pPr>
      <w:r>
        <w:rPr>
          <w:sz w:val="22"/>
        </w:rPr>
        <w:t>El sistema registra el evento en audit_log con el proveedor usado y un resumen de la pregunta.</w:t>
      </w:r>
    </w:p>
    <w:p>
      <w:pPr>
        <w:pStyle w:val="ListNumber"/>
        <w:spacing w:after="40"/>
      </w:pPr>
      <w:r>
        <w:rPr>
          <w:sz w:val="22"/>
        </w:rPr>
        <w:t>El sistema retorna la respuesta al frontend, que la muestra en el chat.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no hay ninguna API key configurada:</w:t>
      </w:r>
    </w:p>
    <w:p>
      <w:pPr>
        <w:pStyle w:val="ListNumber"/>
        <w:spacing w:after="40"/>
      </w:pPr>
      <w:r>
        <w:rPr>
          <w:sz w:val="22"/>
        </w:rPr>
        <w:t>El backend retorna 503 'No hay clave API configurada'. El frontend muestra un mensaje informativo.</w:t>
      </w:r>
    </w:p>
    <w:p>
      <w:r>
        <w:rPr>
          <w:b/>
          <w:sz w:val="22"/>
        </w:rPr>
        <w:t>B) Si el proveedor externo falla:</w:t>
      </w:r>
    </w:p>
    <w:p>
      <w:pPr>
        <w:pStyle w:val="ListNumber"/>
        <w:spacing w:after="40"/>
      </w:pPr>
      <w:r>
        <w:rPr>
          <w:sz w:val="22"/>
        </w:rPr>
        <w:t>El backend retorna 502 'Error al consultar &lt;proveedor&gt;'. El frontend permite reintentar.</w:t>
      </w:r>
    </w:p>
    <w:p>
      <w:r>
        <w:rPr>
          <w:b/>
          <w:sz w:val="22"/>
        </w:rPr>
        <w:t>C) Si se excede el rate limit (10/min):</w:t>
      </w:r>
    </w:p>
    <w:p>
      <w:pPr>
        <w:pStyle w:val="ListNumber"/>
        <w:spacing w:after="40"/>
      </w:pPr>
      <w:r>
        <w:rPr>
          <w:sz w:val="22"/>
        </w:rPr>
        <w:t>El backend retorna 429.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usuario recibe una respuesta contextual sobre la Ley 21.719. La consulta queda registrada en la auditoría.</w:t>
      </w:r>
    </w:p>
    <w:p>
      <w:pPr>
        <w:pStyle w:val="Heading2"/>
      </w:pPr>
      <w:r>
        <w:t>CU-033 — Registrar consentimiento expreso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CU-033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Registrar consentimiento expreso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Usuario regular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autenticado; existe al menos un RAT en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sección 'Consentimientos' desde un RAT específico.</w:t>
      </w:r>
    </w:p>
    <w:p>
      <w:pPr>
        <w:pStyle w:val="ListNumber"/>
        <w:spacing w:after="40"/>
      </w:pPr>
      <w:r>
        <w:rPr>
          <w:sz w:val="22"/>
        </w:rPr>
        <w:t>El sistema muestra un formulario con: nombre del titular, email, canal (WEB/PAPEL/FIRMA_DIGITAL/VERBAL/OTRO), texto del consentimiento, fecha de obtención.</w:t>
      </w:r>
    </w:p>
    <w:p>
      <w:pPr>
        <w:pStyle w:val="ListNumber"/>
        <w:spacing w:after="40"/>
      </w:pPr>
      <w:r>
        <w:rPr>
          <w:sz w:val="22"/>
        </w:rPr>
        <w:t>El usuario completa el formulario y pulsa 'Registrar'.</w:t>
      </w:r>
    </w:p>
    <w:p>
      <w:pPr>
        <w:pStyle w:val="ListNumber"/>
        <w:spacing w:after="40"/>
      </w:pPr>
      <w:r>
        <w:rPr>
          <w:sz w:val="22"/>
        </w:rPr>
        <w:t>El sistema persiste el consentimiento asociado al RAT y empresa, registra IP de origen y marca como activo.</w:t>
      </w:r>
    </w:p>
    <w:p>
      <w:pPr>
        <w:pStyle w:val="ListNumber"/>
        <w:spacing w:after="40"/>
      </w:pPr>
      <w:r>
        <w:rPr>
          <w:sz w:val="22"/>
        </w:rPr>
        <w:t>El sistema muestra confirmación y actualiza la lista de consentimientos del RAT.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texto del consentimiento está vacío:</w:t>
      </w:r>
    </w:p>
    <w:p>
      <w:pPr>
        <w:pStyle w:val="ListNumber"/>
        <w:spacing w:after="40"/>
      </w:pPr>
      <w:r>
        <w:rPr>
          <w:sz w:val="22"/>
        </w:rPr>
        <w:t>El sistema muestra validación: 'El texto del consentimiento es obligatorio'.</w:t>
      </w:r>
    </w:p>
    <w:p>
      <w:r>
        <w:rPr>
          <w:b/>
          <w:sz w:val="22"/>
        </w:rPr>
        <w:t>B) Si el RAT ya tiene un consentimiento activo para ese titular y canal:</w:t>
      </w:r>
    </w:p>
    <w:p>
      <w:pPr>
        <w:pStyle w:val="ListNumber"/>
        <w:spacing w:after="40"/>
      </w:pPr>
      <w:r>
        <w:rPr>
          <w:sz w:val="22"/>
        </w:rPr>
        <w:t>El sistema permite crear otro registro (no hay restricción de unicidad).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consentimiento queda registrado con estado activo, IP de origen y timestamp. El RAT asociado muestra el consentimiento en su detalle.</w:t>
      </w:r>
    </w:p>
    <w:p>
      <w:pPr>
        <w:pStyle w:val="Heading2"/>
      </w:pPr>
      <w:r>
        <w:t>CU-034 — Crear ticket ARCO manualmente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CU-034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Crear ticket ARCO manualmente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Editor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está autenticado y tiene acceso a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/tkt_solicitud_derecho y pulsa '+ Nuevo ticket'.</w:t>
      </w:r>
    </w:p>
    <w:p>
      <w:pPr>
        <w:pStyle w:val="ListNumber"/>
        <w:spacing w:after="40"/>
      </w:pPr>
      <w:r>
        <w:rPr>
          <w:sz w:val="22"/>
        </w:rPr>
        <w:t>El sistema muestra un formulario con: tipo (ACCESO/RECTIFICACION/CANCELACION/OPOSION), prioridad (BAJA/NORMAL/URGENTE), origen (WEB/EMAIL/TELEFONO/PRESENCIAL/MANUAL), titular nombre, titular email, titular rut, descripción.</w:t>
      </w:r>
    </w:p>
    <w:p>
      <w:pPr>
        <w:pStyle w:val="ListNumber"/>
        <w:spacing w:after="40"/>
      </w:pPr>
      <w:r>
        <w:rPr>
          <w:sz w:val="22"/>
        </w:rPr>
        <w:t>El usuario completa y pulsa 'Crear'.</w:t>
      </w:r>
    </w:p>
    <w:p>
      <w:pPr>
        <w:pStyle w:val="ListNumber"/>
        <w:spacing w:after="40"/>
      </w:pPr>
      <w:r>
        <w:rPr>
          <w:sz w:val="22"/>
        </w:rPr>
        <w:t>El sistema calcula fecha_vencimiento = fecha_recepcion + 10 días hábiles Chile (excluye sáb, dom, festivos).</w:t>
      </w:r>
    </w:p>
    <w:p>
      <w:pPr>
        <w:pStyle w:val="ListNumber"/>
        <w:spacing w:after="40"/>
      </w:pPr>
      <w:r>
        <w:rPr>
          <w:sz w:val="22"/>
        </w:rPr>
        <w:t>El sistema persiste el ticket con estado 'ABIERTO' y muestra confirmación.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la fecha de recepción es viernes:</w:t>
      </w:r>
    </w:p>
    <w:p>
      <w:pPr>
        <w:pStyle w:val="ListNumber"/>
        <w:spacing w:after="40"/>
      </w:pPr>
      <w:r>
        <w:rPr>
          <w:sz w:val="22"/>
        </w:rPr>
        <w:t>El vencimiento se calcula al siguiente lunes (si no es festivo).</w:t>
      </w:r>
    </w:p>
    <w:p>
      <w:r>
        <w:rPr>
          <w:b/>
          <w:sz w:val="22"/>
        </w:rPr>
        <w:t>B) Si el usuario no tiene permisos de edición:</w:t>
      </w:r>
    </w:p>
    <w:p>
      <w:pPr>
        <w:pStyle w:val="ListNumber"/>
        <w:spacing w:after="40"/>
      </w:pPr>
      <w:r>
        <w:rPr>
          <w:sz w:val="22"/>
        </w:rPr>
        <w:t>El sistema retorna HTTP 403.</w:t>
      </w:r>
    </w:p>
    <w:p>
      <w:pPr>
        <w:pStyle w:val="Heading3"/>
      </w:pPr>
      <w:r>
        <w:t>Resultado esperado</w:t>
      </w:r>
    </w:p>
    <w:p>
      <w:r>
        <w:rPr>
          <w:sz w:val="22"/>
        </w:rPr>
        <w:t>El ticket queda creado en estado ABIERTO con su fecha de vencimiento calculada. El dashboard de tickets muestra el nuevo ticket.</w:t>
      </w:r>
    </w:p>
    <w:p>
      <w:pPr>
        <w:pStyle w:val="Heading2"/>
      </w:pPr>
      <w:r>
        <w:t>CU-037 — Agregar notas internas al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CU-037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Agregar notas internas al ticket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Admin de empresa, Editor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Existe un ticket TKT en la empresa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abre el detalle de un ticket.</w:t>
      </w:r>
    </w:p>
    <w:p>
      <w:pPr>
        <w:pStyle w:val="ListNumber"/>
        <w:spacing w:after="40"/>
      </w:pPr>
      <w:r>
        <w:rPr>
          <w:sz w:val="22"/>
        </w:rPr>
        <w:t>El usuario escribe texto en el campo de notas internas.</w:t>
      </w:r>
    </w:p>
    <w:p>
      <w:pPr>
        <w:pStyle w:val="ListNumber"/>
        <w:spacing w:after="40"/>
      </w:pPr>
      <w:r>
        <w:rPr>
          <w:sz w:val="22"/>
        </w:rPr>
        <w:t>El usuario pulsa 'Agregar nota'.</w:t>
      </w:r>
    </w:p>
    <w:p>
      <w:pPr>
        <w:pStyle w:val="ListNumber"/>
        <w:spacing w:after="40"/>
      </w:pPr>
      <w:r>
        <w:rPr>
          <w:sz w:val="22"/>
        </w:rPr>
        <w:t>El sistema persiste la nota con user_id del creador y timestamp.</w:t>
      </w:r>
    </w:p>
    <w:p>
      <w:pPr>
        <w:pStyle w:val="ListNumber"/>
        <w:spacing w:after="40"/>
      </w:pPr>
      <w:r>
        <w:rPr>
          <w:sz w:val="22"/>
        </w:rPr>
        <w:t>El sistema muestra la nota en el historial del ticket.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Si el texto está vacío:</w:t>
      </w:r>
    </w:p>
    <w:p>
      <w:pPr>
        <w:pStyle w:val="ListNumber"/>
        <w:spacing w:after="40"/>
      </w:pPr>
      <w:r>
        <w:rPr>
          <w:sz w:val="22"/>
        </w:rPr>
        <w:t>El sistema no permite enviar nota vacía.</w:t>
      </w:r>
    </w:p>
    <w:p>
      <w:r>
        <w:rPr>
          <w:b/>
          <w:sz w:val="22"/>
        </w:rPr>
        <w:t>B) Si el ticket pertenece a otra empresa:</w:t>
      </w:r>
    </w:p>
    <w:p>
      <w:pPr>
        <w:pStyle w:val="ListNumber"/>
        <w:spacing w:after="40"/>
      </w:pPr>
      <w:r>
        <w:rPr>
          <w:sz w:val="22"/>
        </w:rPr>
        <w:t>El sistema retorna HTTP 403.</w:t>
      </w:r>
    </w:p>
    <w:p>
      <w:pPr>
        <w:pStyle w:val="Heading3"/>
      </w:pPr>
      <w:r>
        <w:t>Resultado esperado</w:t>
      </w:r>
    </w:p>
    <w:p>
      <w:r>
        <w:rPr>
          <w:sz w:val="22"/>
        </w:rPr>
        <w:t>La nota queda registrada con autor y timestamp. Visible solo para usuarios internos de la empresa.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casos de uso deben incluir criterios de aceptación explícitos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CU, no solo los críticos?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CU-029 depende de un servicio externo (IA). Si el proveedor cae, el chat no funciona. Mitigación: degradar a un mensaje informativo y permitir respuesta manual.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CU-010 no implementa persistencia en borrador intermedio. Si el usuario abandona, pierde el trabajo. Mitigación: implementar autoguardo en V2.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