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TÉCNICO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Estructura del código, convenciones, patrones y mantenimiento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manual técnico.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Agregados nuevos módulos: Consentimientos, Tickets ARCO y AI. Actualizado count de entidades a 20 y routers a 13. Agregada MINIMAX_API_KEY a dependencias.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manual describe la estructura del código, las convenciones, los patrones y las recomendaciones de mantenimiento del sistema Custodio RAT Manager. Está dirigido a desarrolladores y mantenedores que se incorporan al proyecto.</w:t>
      </w:r>
    </w:p>
    <w:p>
      <w:pPr>
        <w:pStyle w:val="Heading1"/>
      </w:pPr>
      <w:r>
        <w:t>2. Estructura del repositorio</w:t>
      </w:r>
    </w:p>
    <w:p>
      <w:r>
        <w:rPr>
          <w:sz w:val="22"/>
        </w:rPr>
        <w:t>El repositorio sigue una estructura de monorepo con backend y frontend separados.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39948315426499923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Estructura de carpetas del repositorio Custodio.</w:t>
      </w:r>
    </w:p>
    <w:p>
      <w:pPr>
        <w:pStyle w:val="Heading1"/>
      </w:pPr>
      <w:r>
        <w:t>3. Backend — Capas y patrones</w:t>
      </w:r>
    </w:p>
    <w:p>
      <w:pPr>
        <w:pStyle w:val="Heading2"/>
      </w:pPr>
      <w:r>
        <w:t>3.1 Capas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aplicación: </w:t>
      </w:r>
      <w:r>
        <w:rPr>
          <w:sz w:val="22"/>
        </w:rPr>
        <w:t>main.py inicializa la app FastAPI, registra routers, configura CORS y el rate limiter. El evento lifespan crea las tablas y seedea el superadmin y los rubros si está activado.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core: </w:t>
      </w:r>
      <w:r>
        <w:rPr>
          <w:sz w:val="22"/>
        </w:rPr>
        <w:t>core/ contiene configuración (Pydantic Settings), seguridad (JWT, bcrypt, blacklist), rate limiter (slowapi) y logging.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datos: </w:t>
      </w:r>
      <w:r>
        <w:rPr>
          <w:sz w:val="22"/>
        </w:rPr>
        <w:t>database/ contiene el engine SQLAlchemy y la función de sesión get_db. init_db() crea las tablas al arranque.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modelos: </w:t>
      </w:r>
      <w:r>
        <w:rPr>
          <w:sz w:val="22"/>
        </w:rPr>
        <w:t>models/ define las 20 entidades con Mapped[] de SQLAlchemy 2.0.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schemas: </w:t>
      </w:r>
      <w:r>
        <w:rPr>
          <w:sz w:val="22"/>
        </w:rPr>
        <w:t>schemas/ contiene los DTOs Pydantic (Create, Update, Out).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rutas: </w:t>
      </w:r>
      <w:r>
        <w:rPr>
          <w:sz w:val="22"/>
        </w:rPr>
        <w:t>routes/ contiene los 13 routers FastAPI, delgados, que delegan a servicios.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Capa de servicios: </w:t>
      </w:r>
      <w:r>
        <w:rPr>
          <w:sz w:val="22"/>
        </w:rPr>
        <w:t>services/ contiene la lógica de negocio, separada de las rutas.</w:t>
      </w:r>
    </w:p>
    <w:p>
      <w:pPr>
        <w:pStyle w:val="Heading2"/>
      </w:pPr>
      <w:r>
        <w:t>3.2 Convenciones de código Python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Estilo: </w:t>
      </w:r>
      <w:r>
        <w:rPr>
          <w:sz w:val="22"/>
        </w:rPr>
        <w:t>PEP 8 enforced por linter. Tipo hints obligatorios en funciones públicas.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Tipado: </w:t>
      </w:r>
      <w:r>
        <w:rPr>
          <w:sz w:val="22"/>
        </w:rPr>
        <w:t>Pydantic 2.10 con type hints modernos; usar Optional[T] en lugar de Union[T, None].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Mypy: </w:t>
      </w:r>
      <w:r>
        <w:rPr>
          <w:sz w:val="22"/>
        </w:rPr>
        <w:t>Mypy-friendly: evitar Any, preferir modelos tipados.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Docstrings: </w:t>
      </w:r>
      <w:r>
        <w:rPr>
          <w:sz w:val="22"/>
        </w:rPr>
        <w:t>Docstrings en formato Google (Args, Returns, Raises) en funciones públicas.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Naming: </w:t>
      </w:r>
      <w:r>
        <w:rPr>
          <w:sz w:val="22"/>
        </w:rPr>
        <w:t>Nombres: snake_case para funciones/variables, PascalCase para clases, UPPER_CASE para constantes y enums.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Imports: </w:t>
      </w:r>
      <w:r>
        <w:rPr>
          <w:sz w:val="22"/>
        </w:rPr>
        <w:t>Imports: stdlib, third-party, local. Sin imports relativos profundos.</w:t>
      </w:r>
    </w:p>
    <w:p>
      <w:pPr>
        <w:pStyle w:val="Heading2"/>
      </w:pPr>
      <w:r>
        <w:t>3.3 Patrones aplicados</w:t>
      </w:r>
    </w:p>
    <w:p>
      <w:pPr>
        <w:pStyle w:val="ListBullet"/>
        <w:spacing w:after="40"/>
        <w:ind w:left="340"/>
      </w:pPr>
      <w:r>
        <w:rPr>
          <w:sz w:val="22"/>
        </w:rPr>
        <w:t>Service Layer: las rutas (controllers) son delgadas; la lógica vive en services/. Esto facilita el testeo y reduce el acoplamiento.</w:t>
      </w:r>
    </w:p>
    <w:p>
      <w:pPr>
        <w:pStyle w:val="ListBullet"/>
        <w:spacing w:after="40"/>
        <w:ind w:left="340"/>
      </w:pPr>
      <w:r>
        <w:rPr>
          <w:sz w:val="22"/>
        </w:rPr>
        <w:t>Repository implícito: el ORM SQLAlchemy es el repository. Las queries complejas se encapsulan en services/.</w:t>
      </w:r>
    </w:p>
    <w:p>
      <w:pPr>
        <w:pStyle w:val="ListBullet"/>
        <w:spacing w:after="40"/>
        <w:ind w:left="340"/>
      </w:pPr>
      <w:r>
        <w:rPr>
          <w:sz w:val="22"/>
        </w:rPr>
        <w:t>DTO pattern: schemas Pydantic separan el modelo de dominio (ORM) del modelo de transferencia (API).</w:t>
      </w:r>
    </w:p>
    <w:p>
      <w:pPr>
        <w:pStyle w:val="ListBullet"/>
        <w:spacing w:after="40"/>
        <w:ind w:left="340"/>
      </w:pPr>
      <w:r>
        <w:rPr>
          <w:sz w:val="22"/>
        </w:rPr>
        <w:t>Audit Log transversal: cada servicio registra operaciones en audit_log. Implementado en audit_service.log_audit().</w:t>
      </w:r>
    </w:p>
    <w:p>
      <w:pPr>
        <w:pStyle w:val="ListBullet"/>
        <w:spacing w:after="40"/>
        <w:ind w:left="340"/>
      </w:pPr>
      <w:r>
        <w:rPr>
          <w:sz w:val="22"/>
        </w:rPr>
        <w:t>Token Blacklist: tokens revocados se persisten en token_blacklist y se verifican en get_current_user().</w:t>
      </w:r>
    </w:p>
    <w:p>
      <w:pPr>
        <w:pStyle w:val="Heading2"/>
      </w:pPr>
      <w:r>
        <w:t>3.4 Manejo de errores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Excepciones: </w:t>
      </w:r>
      <w:r>
        <w:rPr>
          <w:sz w:val="22"/>
        </w:rPr>
        <w:t>HTTPException con códigos apropiados (400, 401, 403, 404, 409, 422, 429, 500, 502, 503).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Propagación: </w:t>
      </w:r>
      <w:r>
        <w:rPr>
          <w:sz w:val="22"/>
        </w:rPr>
        <w:t>Los routers no capturan excepciones; las dejan propagar. FastAPI devuelve un JSON {'detail': 'mensaje'}.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IA: </w:t>
      </w:r>
      <w:r>
        <w:rPr>
          <w:sz w:val="22"/>
        </w:rPr>
        <w:t>Errores del proveedor IA (502): se loggean y retornan con detalle del proveedor.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Migración: </w:t>
      </w:r>
      <w:r>
        <w:rPr>
          <w:sz w:val="22"/>
        </w:rPr>
        <w:t>Las migraciones no usan Alembic; en su lugar hay un script ad-hoc (migrate_to_neon.py).</w:t>
      </w:r>
    </w:p>
    <w:p>
      <w:pPr>
        <w:pStyle w:val="Heading1"/>
      </w:pPr>
      <w:r>
        <w:t>4. Frontend — Estructura y patrones</w:t>
      </w:r>
    </w:p>
    <w:p>
      <w:pPr>
        <w:pStyle w:val="Heading2"/>
      </w:pPr>
      <w:r>
        <w:t>4.1 Capas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Routing: </w:t>
      </w:r>
      <w:r>
        <w:rPr>
          <w:sz w:val="22"/>
        </w:rPr>
        <w:t>app/ usa Next.js 16 App Router con grupos de rutas: (app) para rutas autenticadas.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Components: </w:t>
      </w:r>
      <w:r>
        <w:rPr>
          <w:sz w:val="22"/>
        </w:rPr>
        <w:t>components/ dividido en layout/, dashboard/, rat/, ui/. Cada componente es standalone y reutilizable.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Context: </w:t>
      </w:r>
      <w:r>
        <w:rPr>
          <w:sz w:val="22"/>
        </w:rPr>
        <w:t>context/ contiene el AppContext (state global de auth + empresa activa).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API client: </w:t>
      </w:r>
      <w:r>
        <w:rPr>
          <w:sz w:val="22"/>
        </w:rPr>
        <w:t>lib/api.ts expone funciones tipadas para cada endpoint (api.crearEmpresa, api.listarRats, etc.). Centraliza la URL base, headers y manejo de errores.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Types: </w:t>
      </w:r>
      <w:r>
        <w:rPr>
          <w:sz w:val="22"/>
        </w:rPr>
        <w:t>types/index.ts contiene los tipos TypeScript compartidos (RAT, Company, User).</w:t>
      </w:r>
    </w:p>
    <w:p>
      <w:pPr>
        <w:pStyle w:val="Heading2"/>
      </w:pPr>
      <w:r>
        <w:t>4.2 Convenciones TypeScript</w:t>
      </w:r>
    </w:p>
    <w:p>
      <w:pPr>
        <w:pStyle w:val="ListBullet"/>
        <w:spacing w:after="40"/>
        <w:ind w:left="340"/>
      </w:pPr>
      <w:r>
        <w:rPr>
          <w:sz w:val="22"/>
        </w:rPr>
        <w:t>TypeScript strict mode habilitado en tsconfig.json.</w:t>
      </w:r>
    </w:p>
    <w:p>
      <w:pPr>
        <w:pStyle w:val="ListBullet"/>
        <w:spacing w:after="40"/>
        <w:ind w:left="340"/>
      </w:pPr>
      <w:r>
        <w:rPr>
          <w:sz w:val="22"/>
        </w:rPr>
        <w:t>Tipos exportados con interfaces públicas y types para uniones.</w:t>
      </w:r>
    </w:p>
    <w:p>
      <w:pPr>
        <w:pStyle w:val="ListBullet"/>
        <w:spacing w:after="40"/>
        <w:ind w:left="340"/>
      </w:pPr>
      <w:r>
        <w:rPr>
          <w:sz w:val="22"/>
        </w:rPr>
        <w:t>Evitar any; preferir unknown y narrowing explícito.</w:t>
      </w:r>
    </w:p>
    <w:p>
      <w:pPr>
        <w:pStyle w:val="ListBullet"/>
        <w:spacing w:after="40"/>
        <w:ind w:left="340"/>
      </w:pPr>
      <w:r>
        <w:rPr>
          <w:sz w:val="22"/>
        </w:rPr>
        <w:t>Props de componentes: interface ComponentNameProps { ... }.</w:t>
      </w:r>
    </w:p>
    <w:p>
      <w:pPr>
        <w:pStyle w:val="ListBullet"/>
        <w:spacing w:after="40"/>
        <w:ind w:left="340"/>
      </w:pPr>
      <w:r>
        <w:rPr>
          <w:sz w:val="22"/>
        </w:rPr>
        <w:t>Naming: PascalCase para componentes, camelCase para funciones, kebab-case para carpetas.</w:t>
      </w:r>
    </w:p>
    <w:p>
      <w:pPr>
        <w:pStyle w:val="Heading2"/>
      </w:pPr>
      <w:r>
        <w:t>4.3 Patrones React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Hooks: </w:t>
      </w:r>
      <w:r>
        <w:rPr>
          <w:sz w:val="22"/>
        </w:rPr>
        <w:t>Hooks de React 19: useState, useEffect, useContext, useMemo, useCallback.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Estado: </w:t>
      </w:r>
      <w:r>
        <w:rPr>
          <w:sz w:val="22"/>
        </w:rPr>
        <w:t>Context API para el estado global (no Redux, no Zustand).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CSS: </w:t>
      </w:r>
      <w:r>
        <w:rPr>
          <w:sz w:val="22"/>
        </w:rPr>
        <w:t>Tailwind CSS v4 utility-first; sin styled-components ni CSS modules.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Forms: </w:t>
      </w:r>
      <w:r>
        <w:rPr>
          <w:sz w:val="22"/>
        </w:rPr>
        <w:t>React Hook Form + Zod para formularios tipados con validación.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Toasts: </w:t>
      </w:r>
      <w:r>
        <w:rPr>
          <w:sz w:val="22"/>
        </w:rPr>
        <w:t>Sonner para toasts; no se usan modales nativos del navegador.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Componentes: </w:t>
      </w:r>
      <w:r>
        <w:rPr>
          <w:sz w:val="22"/>
        </w:rPr>
        <w:t>Componentes funcionales con arrow functions export const.</w:t>
      </w:r>
    </w:p>
    <w:p>
      <w:pPr>
        <w:pStyle w:val="Heading2"/>
      </w:pPr>
      <w:r>
        <w:t>4.4 Validación RUT</w:t>
      </w:r>
    </w:p>
    <w:p>
      <w:r>
        <w:rPr>
          <w:sz w:val="22"/>
        </w:rPr>
        <w:t>La validación del RUT chileno se implementa en components/ui/validation.ts con dos funciones: validarRUT(rut) y formatearRUT(rut). El algoritmo es el dígito verificador módulo 11, conforme a la norma chilena.</w:t>
      </w:r>
    </w:p>
    <w:p>
      <w:pPr>
        <w:pStyle w:val="Heading1"/>
      </w:pPr>
      <w:r>
        <w:t>5. Dependencias clave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Dependencias de Python (backend/requirements.txt)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Uso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fastapi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0.115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web async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uvicorn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0.32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Servidor ASGI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sqlalchemy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2.0.36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ORM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pydantic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python-jose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3.3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passlib + bcrypt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Hashing de contraseñas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reportlab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Generación PDF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slowapi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0.1.9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psycopg2-binary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2.9.12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Driver PostgreSQL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httpx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0.27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Cliente HTTP (y testing)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openai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2.33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Cliente OpenAI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minimax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Cliente MiniMax (alternativo a OpenAI)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pytest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8.3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de testing</w:t>
            </w:r>
          </w:p>
        </w:tc>
      </w:tr>
    </w:tbl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Dependencias de Node (frontend-next/package.json)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Uso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next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16.2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React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react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UI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typescript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5.x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Tipado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tailwindcss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Estilos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sonner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Toasts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react-hook-form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Formularios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zod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v3/v4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jspdf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PDF cliente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/>
                <w:sz w:val="20"/>
              </w:rPr>
              <w:t>jspdf-autotable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Tablas PDF cliente</w:t>
            </w:r>
          </w:p>
        </w:tc>
      </w:tr>
    </w:tbl>
    <w:p>
      <w:pPr>
        <w:pStyle w:val="Heading1"/>
      </w:pPr>
      <w:r>
        <w:t>6. Recomendaciones de mantenimiento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Modelos: </w:t>
      </w:r>
      <w:r>
        <w:rPr>
          <w:sz w:val="22"/>
        </w:rPr>
        <w:t>Antes de modificar un modelo ORM, verificar el impacto en cascada (cascade=delete-orphan).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RAT: </w:t>
      </w:r>
      <w:r>
        <w:rPr>
          <w:sz w:val="22"/>
        </w:rPr>
        <w:t>Antes de añadir un campo al RAT, revisar las fórmulas de completitud y riesgo.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API: </w:t>
      </w:r>
      <w:r>
        <w:rPr>
          <w:sz w:val="22"/>
        </w:rPr>
        <w:t>Cualquier cambio en la API debe documentarse en CUST-DOC-08 (Documentación de APIs).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Migraciones: </w:t>
      </w:r>
      <w:r>
        <w:rPr>
          <w:sz w:val="22"/>
        </w:rPr>
        <w:t>Las migraciones de base de datos deben probarse primero en staging con datos reales anonimizados.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Secret key: </w:t>
      </w:r>
      <w:r>
        <w:rPr>
          <w:sz w:val="22"/>
        </w:rPr>
        <w:t>Rotar SECRET_KEY cada 6 meses y documentar la fecha en el header de la cookie.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Tests: </w:t>
      </w:r>
      <w:r>
        <w:rPr>
          <w:sz w:val="22"/>
        </w:rPr>
        <w:t>Mantener la cobertura de tests ≥80%. No mergear a main con tests fallando.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Backlog: </w:t>
      </w:r>
      <w:r>
        <w:rPr>
          <w:sz w:val="22"/>
        </w:rPr>
        <w:t>Revisar mensualmente el backlog de issues y la deuda técnica.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Deps: </w:t>
      </w:r>
      <w:r>
        <w:rPr>
          <w:sz w:val="22"/>
        </w:rPr>
        <w:t>Actualizar dependencias trimestralmente; revisar CVEs con safety / npm audit.</w:t>
      </w:r>
    </w:p>
    <w:p>
      <w:pPr>
        <w:pStyle w:val="Heading1"/>
      </w:pPr>
      <w:r>
        <w:t>7. Comandos útiles del día a día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3 — </w:t>
      </w:r>
      <w:r>
        <w:rPr>
          <w:i/>
          <w:color w:val="404040"/>
          <w:sz w:val="18"/>
        </w:rPr>
        <w:t>Cheat sheet de comandos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Acción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Comando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Activar venv del backend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cd backend &amp;&amp; venv\Scripts\activate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Levantar backend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uvicorn app.main:app --host 0.0.0.0 --port 8002 --reload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Correr 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pytest tests/ -v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Verificar conexión BD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-c "from app.core.config import settings; print(settings.DATABASE_URL[:50])"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Exportar SQLite a JSON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migrate_to_neon.py export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Inicializar schema en Neon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migrate_to_neon.py init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Importar datos a Neon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python migrate_to_neon.py import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Instalar deps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cd frontend-next &amp;&amp; bun install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Levantar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bun dev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Build producción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bun build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Linting frontend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bun lint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Iniciar todo (Windows)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iniciar.bat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Detener puertos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matar_puertos.bat</w:t>
            </w:r>
          </w:p>
        </w:tc>
      </w:tr>
    </w:tbl>
    <w:p>
      <w:pPr>
        <w:pStyle w:val="Heading1"/>
      </w:pPr>
      <w:r>
        <w:t>8. Estilo de código y linters</w:t>
      </w:r>
    </w:p>
    <w:p>
      <w:r>
        <w:rPr>
          <w:sz w:val="22"/>
        </w:rPr>
        <w:t>Configuraciones recomendadas:</w:t>
      </w:r>
    </w:p>
    <w:p>
      <w:pPr>
        <w:pStyle w:val="ListBullet"/>
        <w:spacing w:after="40"/>
        <w:ind w:left="340"/>
      </w:pPr>
      <w:r>
        <w:rPr>
          <w:sz w:val="22"/>
        </w:rPr>
        <w:t>Backend: ruff (linter + formateador) con configuración pyproject.toml.</w:t>
      </w:r>
    </w:p>
    <w:p>
      <w:pPr>
        <w:pStyle w:val="ListBullet"/>
        <w:spacing w:after="40"/>
        <w:ind w:left="340"/>
      </w:pPr>
      <w:r>
        <w:rPr>
          <w:sz w:val="22"/>
        </w:rPr>
        <w:t>Frontend: ESLint + Prettier con configuración next/core-web-vitals.</w:t>
      </w:r>
    </w:p>
    <w:p>
      <w:pPr>
        <w:pStyle w:val="ListBullet"/>
        <w:spacing w:after="40"/>
        <w:ind w:left="340"/>
      </w:pPr>
      <w:r>
        <w:rPr>
          <w:sz w:val="22"/>
        </w:rPr>
        <w:t>Pre-commit hooks: opcional, recomendado para evitar pushes con errores.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¿Adoptar un linter de secrets (gitleaks, trufflehog) en CI?</w:t>
      </w:r>
    </w:p>
    <w:p>
      <w:pPr>
        <w:pStyle w:val="ListBullet"/>
        <w:spacing w:after="40"/>
        <w:ind w:left="340"/>
      </w:pPr>
      <w:r>
        <w:rPr>
          <w:sz w:val="22"/>
        </w:rPr>
        <w:t>¿Migrar a monorepo con Turborepo o Nx si se añaden más subproyectos?</w:t>
      </w:r>
    </w:p>
    <w:p>
      <w:pPr>
        <w:pStyle w:val="ListBullet"/>
        <w:spacing w:after="40"/>
        <w:ind w:left="340"/>
      </w:pPr>
      <w:r>
        <w:rPr>
          <w:sz w:val="22"/>
        </w:rPr>
        <w:t>¿Documentar arquitectura con ADR-### usando la plantilla MADR?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No hay Alembic: las migraciones de esquema son manuales. Riesgo de drift entre el modelo SQLAlchemy y la BD real. Mitigación: introducir Alembic en V1.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backend no usa ORM events (before_insert, after_update) para auditoría: la auditoría se hace manualmente en cada servicio. Riesgo de olvidar auditar alguna operación. Mitigación: implementar un decorator o un mixin en V1.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ASGI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Async Server Gateway Interface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Estándar para servidores web async en Python.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ORM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Object-Relational Mapper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Mapeo objeto-relacional (SQLAlchemy).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DTO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Data Transfer Object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Objeto que transporta datos entre capas (Pydantic).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Técnico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Técnico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