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252" w:rsidRDefault="00546AF6">
      <w:pPr>
        <w:spacing w:before="400"/>
        <w:jc w:val="center"/>
      </w:pPr>
      <w:r>
        <w:rPr>
          <w:rFonts w:ascii="Calibri" w:hAnsi="Calibri"/>
          <w:b/>
          <w:color w:val="00467F"/>
          <w:sz w:val="36"/>
        </w:rPr>
        <w:t>LEY 21.719 DE PROTECCIÓN DE DATOS PERSONALES</w:t>
      </w:r>
    </w:p>
    <w:p w:rsidR="00F47252" w:rsidRDefault="00546AF6">
      <w:pPr>
        <w:jc w:val="center"/>
      </w:pPr>
      <w:r>
        <w:rPr>
          <w:rFonts w:ascii="Calibri" w:hAnsi="Calibri"/>
          <w:i/>
          <w:color w:val="0070C0"/>
          <w:sz w:val="28"/>
        </w:rPr>
        <w:t>Módulo 1 — Conceptos Jurídicos Fundamentales</w:t>
      </w:r>
    </w:p>
    <w:p w:rsidR="00F47252" w:rsidRDefault="00546AF6">
      <w:pPr>
        <w:jc w:val="center"/>
      </w:pPr>
      <w:r>
        <w:rPr>
          <w:rFonts w:ascii="Calibri" w:hAnsi="Calibri"/>
          <w:color w:val="646464"/>
          <w:sz w:val="20"/>
        </w:rPr>
        <w:t>Instructor: Pablo Iolíe  |  Abogado U. de Chile  |  Master Derecho y TI, U. Leiden</w:t>
      </w:r>
    </w:p>
    <w:p w:rsidR="00F47252" w:rsidRDefault="00F47252"/>
    <w:p w:rsidR="00F47252" w:rsidRDefault="00546AF6">
      <w:pPr>
        <w:spacing w:before="80" w:after="80"/>
      </w:pPr>
      <w:r>
        <w:rPr>
          <w:rFonts w:ascii="Calibri" w:hAnsi="Calibri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47252" w:rsidRDefault="00F47252"/>
    <w:p w:rsidR="00F47252" w:rsidRDefault="00546AF6">
      <w:pPr>
        <w:spacing w:before="240" w:after="80"/>
      </w:pPr>
      <w:r>
        <w:rPr>
          <w:rFonts w:ascii="Calibri" w:hAnsi="Calibri"/>
          <w:b/>
          <w:color w:val="00467F"/>
          <w:sz w:val="28"/>
        </w:rPr>
        <w:t>1. RESUMEN EJECUTIVO</w:t>
      </w:r>
    </w:p>
    <w:p w:rsidR="00F47252" w:rsidRDefault="00546AF6">
      <w:pPr>
        <w:spacing w:after="120"/>
      </w:pPr>
      <w:r w:rsidRPr="009E10F1">
        <w:rPr>
          <w:rFonts w:ascii="Calibri" w:hAnsi="Calibri"/>
          <w:highlight w:val="yellow"/>
        </w:rPr>
        <w:t>La Ley 21.719</w:t>
      </w:r>
      <w:r>
        <w:rPr>
          <w:rFonts w:ascii="Calibri" w:hAnsi="Calibri"/>
        </w:rPr>
        <w:t xml:space="preserve"> modifica profundamente la Ley 19.628 sobre Protección de la Vida Privada, transformándola en la nueva Ley sobre Protección de Datos Personales. Entra en </w:t>
      </w:r>
      <w:r w:rsidRPr="009E10F1">
        <w:rPr>
          <w:rFonts w:ascii="Calibri" w:hAnsi="Calibri"/>
          <w:highlight w:val="yellow"/>
        </w:rPr>
        <w:t>vigencia el 1 de diciembre de 2026</w:t>
      </w:r>
      <w:r>
        <w:rPr>
          <w:rFonts w:ascii="Calibri" w:hAnsi="Calibri"/>
        </w:rPr>
        <w:t xml:space="preserve"> y está fuertemente inspirada en </w:t>
      </w:r>
      <w:r>
        <w:rPr>
          <w:rFonts w:ascii="Calibri" w:hAnsi="Calibri"/>
        </w:rPr>
        <w:t xml:space="preserve">el </w:t>
      </w:r>
      <w:r w:rsidRPr="009E10F1">
        <w:rPr>
          <w:rFonts w:ascii="Calibri" w:hAnsi="Calibri"/>
          <w:highlight w:val="yellow"/>
        </w:rPr>
        <w:t xml:space="preserve">Reglamento General de Protección de Datos </w:t>
      </w:r>
      <w:r w:rsidRPr="009E10F1">
        <w:rPr>
          <w:rFonts w:ascii="Calibri" w:hAnsi="Calibri"/>
          <w:color w:val="FF0000"/>
          <w:highlight w:val="yellow"/>
        </w:rPr>
        <w:t xml:space="preserve">(RGPD) </w:t>
      </w:r>
      <w:r w:rsidRPr="009E10F1">
        <w:rPr>
          <w:rFonts w:ascii="Calibri" w:hAnsi="Calibri"/>
          <w:highlight w:val="yellow"/>
        </w:rPr>
        <w:t>de la Unión Europea.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El módulo 1 entrega los conceptos jurídicos esenciales para operar dentro del nuevo marco regulatorio: qué es un dato personal, cómo clasificarlos, cuándo aplica la ley y quiénes son</w:t>
      </w:r>
      <w:r>
        <w:rPr>
          <w:rFonts w:ascii="Calibri" w:hAnsi="Calibri"/>
        </w:rPr>
        <w:t xml:space="preserve"> los actores involucrados en el tratamiento. La habilidad de determinar si algo constituye un dato personal es la mitad del trabajo en cualquier asesoría de cumplimiento.</w:t>
      </w:r>
    </w:p>
    <w:p w:rsidR="00F47252" w:rsidRDefault="00546AF6">
      <w:pPr>
        <w:spacing w:before="80" w:after="80"/>
      </w:pPr>
      <w:r>
        <w:rPr>
          <w:rFonts w:ascii="Calibri" w:hAnsi="Calibri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47252" w:rsidRDefault="00546AF6">
      <w:pPr>
        <w:spacing w:before="240" w:after="80"/>
      </w:pPr>
      <w:r>
        <w:rPr>
          <w:rFonts w:ascii="Calibri" w:hAnsi="Calibri"/>
          <w:b/>
          <w:color w:val="00467F"/>
          <w:sz w:val="28"/>
        </w:rPr>
        <w:t>2. A</w:t>
      </w:r>
      <w:r>
        <w:rPr>
          <w:rFonts w:ascii="Calibri" w:hAnsi="Calibri"/>
          <w:b/>
          <w:color w:val="00467F"/>
          <w:sz w:val="28"/>
        </w:rPr>
        <w:t>PUNTES CLAVE POR TEMA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70C0"/>
        </w:rPr>
        <w:t>2.1  ¿Son los datos el nuevo petróleo?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>✓</w:t>
      </w:r>
      <w:r>
        <w:rPr>
          <w:rFonts w:ascii="Calibri" w:hAnsi="Calibri"/>
          <w:b/>
        </w:rPr>
        <w:t xml:space="preserve"> </w:t>
      </w:r>
      <w:r w:rsidRPr="00305738">
        <w:rPr>
          <w:rFonts w:ascii="Calibri" w:hAnsi="Calibri"/>
          <w:highlight w:val="yellow"/>
        </w:rPr>
        <w:t>Las empresas</w:t>
      </w:r>
      <w:r>
        <w:rPr>
          <w:rFonts w:ascii="Calibri" w:hAnsi="Calibri"/>
        </w:rPr>
        <w:t xml:space="preserve"> de mayor valorización bursátil (Amazon, Google, Meta, Nvidia) </w:t>
      </w:r>
      <w:r w:rsidRPr="00305738">
        <w:rPr>
          <w:rFonts w:ascii="Calibri" w:hAnsi="Calibri"/>
          <w:highlight w:val="yellow"/>
        </w:rPr>
        <w:t>generan valor procesando datos.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>✓</w:t>
      </w:r>
      <w:r>
        <w:rPr>
          <w:rFonts w:ascii="Calibri" w:hAnsi="Calibri"/>
          <w:b/>
        </w:rPr>
        <w:t xml:space="preserve"> </w:t>
      </w:r>
      <w:r>
        <w:rPr>
          <w:rFonts w:ascii="Calibri" w:hAnsi="Calibri"/>
        </w:rPr>
        <w:t xml:space="preserve">Hay países que procesan datos y países que solo los exportan (analogía con el siglo </w:t>
      </w:r>
      <w:r>
        <w:rPr>
          <w:rFonts w:ascii="Calibri" w:hAnsi="Calibri"/>
        </w:rPr>
        <w:t>pasado y el petróleo crudo).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>✗</w:t>
      </w:r>
      <w:r>
        <w:rPr>
          <w:rFonts w:ascii="Calibri" w:hAnsi="Calibri"/>
          <w:b/>
        </w:rPr>
        <w:t xml:space="preserve"> Diferencia clave: </w:t>
      </w:r>
      <w:r w:rsidRPr="00305738">
        <w:rPr>
          <w:rFonts w:ascii="Calibri" w:hAnsi="Calibri"/>
          <w:highlight w:val="yellow"/>
        </w:rPr>
        <w:t>Los datos NO son bienes rivales</w:t>
      </w:r>
      <w:r>
        <w:rPr>
          <w:rFonts w:ascii="Calibri" w:hAnsi="Calibri"/>
        </w:rPr>
        <w:t>: copiarlos no los destruye, su costo de reproducción tiende a cero.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>✗</w:t>
      </w:r>
      <w:r>
        <w:rPr>
          <w:rFonts w:ascii="Calibri" w:hAnsi="Calibri"/>
          <w:b/>
        </w:rPr>
        <w:t xml:space="preserve"> Diferencia clave: </w:t>
      </w:r>
      <w:r w:rsidRPr="00305738">
        <w:rPr>
          <w:rFonts w:ascii="Calibri" w:hAnsi="Calibri"/>
          <w:highlight w:val="cyan"/>
        </w:rPr>
        <w:t>El valor real no está en el dato en sí, sino en la inferencia generada al cruzar grande</w:t>
      </w:r>
      <w:r w:rsidRPr="00305738">
        <w:rPr>
          <w:rFonts w:ascii="Calibri" w:hAnsi="Calibri"/>
          <w:highlight w:val="cyan"/>
        </w:rPr>
        <w:t>s bases de datos</w:t>
      </w:r>
      <w:r>
        <w:rPr>
          <w:rFonts w:ascii="Calibri" w:hAnsi="Calibri"/>
        </w:rPr>
        <w:t>.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70C0"/>
        </w:rPr>
        <w:t>2.2  Vínculo persona-dato: titularidad, NO propiedad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Mundo anglosajón: </w:t>
      </w:r>
      <w:r>
        <w:rPr>
          <w:rFonts w:ascii="Calibri" w:hAnsi="Calibri"/>
        </w:rPr>
        <w:t>Tradición anglosajona → habla de data ownership (propiedad sobre el dato).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Chile / Europa: </w:t>
      </w:r>
      <w:r>
        <w:rPr>
          <w:rFonts w:ascii="Calibri" w:hAnsi="Calibri"/>
        </w:rPr>
        <w:t>Tradición continental (y Chile) → vínculo de TITULARIDAD basado en un derech</w:t>
      </w:r>
      <w:r>
        <w:rPr>
          <w:rFonts w:ascii="Calibri" w:hAnsi="Calibri"/>
        </w:rPr>
        <w:t>o fundamental: la autodeterminación informativa.</w:t>
      </w:r>
    </w:p>
    <w:p w:rsidR="00F47252" w:rsidRDefault="00546AF6">
      <w:pPr>
        <w:pStyle w:val="Listaconvietas"/>
        <w:spacing w:after="40"/>
      </w:pPr>
      <w:r w:rsidRPr="000A26A5">
        <w:rPr>
          <w:rFonts w:ascii="Calibri" w:hAnsi="Calibri"/>
          <w:b/>
          <w:highlight w:val="cyan"/>
        </w:rPr>
        <w:t xml:space="preserve">Definición: </w:t>
      </w:r>
      <w:r w:rsidRPr="000A26A5">
        <w:rPr>
          <w:rFonts w:ascii="Calibri" w:hAnsi="Calibri"/>
          <w:highlight w:val="cyan"/>
        </w:rPr>
        <w:t>Autodeterminación informativa: derecho de control de las personas sobre sus datos, incluso datos públicos</w:t>
      </w:r>
      <w:r>
        <w:rPr>
          <w:rFonts w:ascii="Calibri" w:hAnsi="Calibri"/>
        </w:rPr>
        <w:t>.</w:t>
      </w:r>
    </w:p>
    <w:p w:rsidR="00F47252" w:rsidRPr="000A26A5" w:rsidRDefault="00546AF6">
      <w:pPr>
        <w:pStyle w:val="Listaconvietas"/>
        <w:spacing w:after="40"/>
        <w:rPr>
          <w:highlight w:val="cyan"/>
        </w:rPr>
      </w:pPr>
      <w:r w:rsidRPr="000A26A5">
        <w:rPr>
          <w:rFonts w:ascii="Calibri" w:hAnsi="Calibri"/>
          <w:b/>
          <w:highlight w:val="cyan"/>
        </w:rPr>
        <w:t xml:space="preserve">Consecuencia: </w:t>
      </w:r>
      <w:r w:rsidRPr="000A26A5">
        <w:rPr>
          <w:rFonts w:ascii="Calibri" w:hAnsi="Calibri"/>
          <w:highlight w:val="cyan"/>
        </w:rPr>
        <w:t>No se puede 'vender' o 'transferir' el nombre ni la dirección; el dato sie</w:t>
      </w:r>
      <w:r w:rsidRPr="000A26A5">
        <w:rPr>
          <w:rFonts w:ascii="Calibri" w:hAnsi="Calibri"/>
          <w:highlight w:val="cyan"/>
        </w:rPr>
        <w:t>mpre está vinculado a la persona.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70C0"/>
        </w:rPr>
        <w:lastRenderedPageBreak/>
        <w:t>2.3  Definición de Dato Personal — Art. 2 letra F, Ley 21.719</w:t>
      </w:r>
    </w:p>
    <w:p w:rsidR="00F47252" w:rsidRDefault="00546AF6">
      <w:pPr>
        <w:spacing w:after="80"/>
        <w:ind w:left="454"/>
      </w:pPr>
      <w:r w:rsidRPr="000A26A5">
        <w:rPr>
          <w:rFonts w:ascii="Calibri" w:hAnsi="Calibri"/>
          <w:i/>
          <w:color w:val="505050"/>
          <w:sz w:val="20"/>
          <w:highlight w:val="yellow"/>
        </w:rPr>
        <w:t>"Cualquier información vinculada o referida a una persona natural identificada o identificable. Se considerará identificable toda persona cuya identidad pueda d</w:t>
      </w:r>
      <w:r w:rsidRPr="000A26A5">
        <w:rPr>
          <w:rFonts w:ascii="Calibri" w:hAnsi="Calibri"/>
          <w:i/>
          <w:color w:val="505050"/>
          <w:sz w:val="20"/>
          <w:highlight w:val="yellow"/>
        </w:rPr>
        <w:t>eterminarse directa o indirectamente..."</w:t>
      </w:r>
      <w:bookmarkStart w:id="0" w:name="_GoBack"/>
      <w:bookmarkEnd w:id="0"/>
    </w:p>
    <w:p w:rsidR="00F47252" w:rsidRDefault="00546AF6">
      <w:pPr>
        <w:spacing w:before="160" w:after="40"/>
      </w:pPr>
      <w:r>
        <w:rPr>
          <w:rFonts w:ascii="Calibri" w:hAnsi="Calibri"/>
          <w:b/>
          <w:color w:val="0070C0"/>
        </w:rPr>
        <w:t xml:space="preserve">   3 elementos constitutivos (si falla uno → NO es dato personal):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① Información: </w:t>
      </w:r>
      <w:r>
        <w:rPr>
          <w:rFonts w:ascii="Calibri" w:hAnsi="Calibri"/>
        </w:rPr>
        <w:t>Información — cualquier tipo, sin importar si es privada, correcta o producida por el titular.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② Vínculo: </w:t>
      </w:r>
      <w:r>
        <w:rPr>
          <w:rFonts w:ascii="Calibri" w:hAnsi="Calibri"/>
        </w:rPr>
        <w:t>Vínculo — conexión entre la</w:t>
      </w:r>
      <w:r>
        <w:rPr>
          <w:rFonts w:ascii="Calibri" w:hAnsi="Calibri"/>
        </w:rPr>
        <w:t xml:space="preserve"> información y la persona (referir, denotar, conectar, etc.).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③ Persona natural: </w:t>
      </w:r>
      <w:r>
        <w:rPr>
          <w:rFonts w:ascii="Calibri" w:hAnsi="Calibri"/>
        </w:rPr>
        <w:t>Persona natural — ser humano; las personas jurídicas NUNCA son titulares de datos personales.</w:t>
      </w:r>
    </w:p>
    <w:p w:rsidR="00F47252" w:rsidRDefault="00546AF6">
      <w:pPr>
        <w:spacing w:before="80" w:after="80"/>
        <w:ind w:left="283" w:right="283"/>
      </w:pPr>
      <w:r>
        <w:rPr>
          <w:rFonts w:ascii="Calibri" w:hAnsi="Calibri"/>
          <w:i/>
          <w:color w:val="780000"/>
          <w:sz w:val="20"/>
        </w:rPr>
        <w:t>⚠</w:t>
      </w:r>
      <w:r>
        <w:rPr>
          <w:rFonts w:ascii="Calibri" w:hAnsi="Calibri"/>
          <w:i/>
          <w:color w:val="780000"/>
          <w:sz w:val="20"/>
        </w:rPr>
        <w:t xml:space="preserve">  DATO DE SCHRÖDINGER: un mismo dato puede ser o no ser personal dependiendo de </w:t>
      </w:r>
      <w:r>
        <w:rPr>
          <w:rFonts w:ascii="Calibri" w:hAnsi="Calibri"/>
          <w:i/>
          <w:color w:val="780000"/>
          <w:sz w:val="20"/>
        </w:rPr>
        <w:t>quién intenta identificar a la persona. Siempre preguntar: ¿personal para QUIÉN?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70C0"/>
        </w:rPr>
        <w:t>2.4  Clasificación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47252">
        <w:trPr>
          <w:jc w:val="center"/>
        </w:trPr>
        <w:tc>
          <w:tcPr>
            <w:tcW w:w="3135" w:type="dxa"/>
            <w:shd w:val="clear" w:color="auto" w:fill="003F7F"/>
          </w:tcPr>
          <w:p w:rsidR="00F47252" w:rsidRDefault="00546AF6"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w="3135" w:type="dxa"/>
            <w:shd w:val="clear" w:color="auto" w:fill="003F7F"/>
          </w:tcPr>
          <w:p w:rsidR="00F47252" w:rsidRDefault="00546AF6"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w="3135" w:type="dxa"/>
            <w:shd w:val="clear" w:color="auto" w:fill="003F7F"/>
          </w:tcPr>
          <w:p w:rsidR="00F47252" w:rsidRDefault="00546AF6">
            <w:r>
              <w:rPr>
                <w:rFonts w:ascii="Calibri" w:hAnsi="Calibri"/>
                <w:b/>
                <w:color w:val="FFFFFF"/>
                <w:sz w:val="20"/>
              </w:rPr>
              <w:t>Regulación</w:t>
            </w:r>
          </w:p>
        </w:tc>
      </w:tr>
      <w:tr w:rsidR="00F47252">
        <w:trPr>
          <w:jc w:val="center"/>
        </w:trPr>
        <w:tc>
          <w:tcPr>
            <w:tcW w:w="3135" w:type="dxa"/>
          </w:tcPr>
          <w:p w:rsidR="00F47252" w:rsidRDefault="00546AF6">
            <w:r>
              <w:rPr>
                <w:rFonts w:ascii="Calibri" w:hAnsi="Calibri"/>
                <w:sz w:val="20"/>
              </w:rPr>
              <w:t>Dato personal</w:t>
            </w:r>
          </w:p>
        </w:tc>
        <w:tc>
          <w:tcPr>
            <w:tcW w:w="3135" w:type="dxa"/>
          </w:tcPr>
          <w:p w:rsidR="00F47252" w:rsidRDefault="00546AF6">
            <w:r>
              <w:rPr>
                <w:rFonts w:ascii="Calibri" w:hAnsi="Calibri"/>
                <w:sz w:val="20"/>
              </w:rPr>
              <w:t>Cumple los 3 elementos constitutivos.</w:t>
            </w:r>
          </w:p>
        </w:tc>
        <w:tc>
          <w:tcPr>
            <w:tcW w:w="3135" w:type="dxa"/>
          </w:tcPr>
          <w:p w:rsidR="00F47252" w:rsidRDefault="00546AF6">
            <w:r>
              <w:rPr>
                <w:rFonts w:ascii="Calibri" w:hAnsi="Calibri"/>
                <w:sz w:val="20"/>
              </w:rPr>
              <w:t>Plena aplicación de la ley.</w:t>
            </w:r>
          </w:p>
        </w:tc>
      </w:tr>
      <w:tr w:rsidR="00F47252">
        <w:trPr>
          <w:jc w:val="center"/>
        </w:trPr>
        <w:tc>
          <w:tcPr>
            <w:tcW w:w="3135" w:type="dxa"/>
            <w:shd w:val="clear" w:color="auto" w:fill="EBF3FB"/>
          </w:tcPr>
          <w:p w:rsidR="00F47252" w:rsidRDefault="00546AF6">
            <w:r>
              <w:rPr>
                <w:rFonts w:ascii="Calibri" w:hAnsi="Calibri"/>
                <w:sz w:val="20"/>
              </w:rPr>
              <w:t>Dato estadístico</w:t>
            </w:r>
          </w:p>
        </w:tc>
        <w:tc>
          <w:tcPr>
            <w:tcW w:w="3135" w:type="dxa"/>
            <w:shd w:val="clear" w:color="auto" w:fill="EBF3FB"/>
          </w:tcPr>
          <w:p w:rsidR="00F47252" w:rsidRDefault="00546AF6">
            <w:r>
              <w:rPr>
                <w:rFonts w:ascii="Calibri" w:hAnsi="Calibri"/>
                <w:sz w:val="20"/>
              </w:rPr>
              <w:t>No cumple el ví</w:t>
            </w:r>
            <w:r>
              <w:rPr>
                <w:rFonts w:ascii="Calibri" w:hAnsi="Calibri"/>
                <w:sz w:val="20"/>
              </w:rPr>
              <w:t>nculo con persona natural. Equivale a 'dato no personal'.</w:t>
            </w:r>
          </w:p>
        </w:tc>
        <w:tc>
          <w:tcPr>
            <w:tcW w:w="3135" w:type="dxa"/>
            <w:shd w:val="clear" w:color="auto" w:fill="EBF3FB"/>
          </w:tcPr>
          <w:p w:rsidR="00F47252" w:rsidRDefault="00546AF6">
            <w:r>
              <w:rPr>
                <w:rFonts w:ascii="Calibri" w:hAnsi="Calibri"/>
                <w:sz w:val="20"/>
              </w:rPr>
              <w:t>Libre tratamiento.</w:t>
            </w:r>
          </w:p>
        </w:tc>
      </w:tr>
      <w:tr w:rsidR="00F47252">
        <w:trPr>
          <w:jc w:val="center"/>
        </w:trPr>
        <w:tc>
          <w:tcPr>
            <w:tcW w:w="3135" w:type="dxa"/>
          </w:tcPr>
          <w:p w:rsidR="00F47252" w:rsidRDefault="00546AF6">
            <w:r>
              <w:rPr>
                <w:rFonts w:ascii="Calibri" w:hAnsi="Calibri"/>
                <w:sz w:val="20"/>
              </w:rPr>
              <w:t>Dato anonimizado</w:t>
            </w:r>
          </w:p>
        </w:tc>
        <w:tc>
          <w:tcPr>
            <w:tcW w:w="3135" w:type="dxa"/>
          </w:tcPr>
          <w:p w:rsidR="00F47252" w:rsidRDefault="00546AF6">
            <w:r>
              <w:rPr>
                <w:rFonts w:ascii="Calibri" w:hAnsi="Calibri"/>
                <w:sz w:val="20"/>
              </w:rPr>
              <w:t>Era personal, pero el vínculo fue destruido de forma IRREVERSIBLE.</w:t>
            </w:r>
          </w:p>
        </w:tc>
        <w:tc>
          <w:tcPr>
            <w:tcW w:w="3135" w:type="dxa"/>
          </w:tcPr>
          <w:p w:rsidR="00F47252" w:rsidRDefault="00546AF6">
            <w:r>
              <w:rPr>
                <w:rFonts w:ascii="Calibri" w:hAnsi="Calibri"/>
                <w:sz w:val="20"/>
              </w:rPr>
              <w:t>Se transforma en dato estadístico.</w:t>
            </w:r>
          </w:p>
        </w:tc>
      </w:tr>
      <w:tr w:rsidR="00F47252">
        <w:trPr>
          <w:jc w:val="center"/>
        </w:trPr>
        <w:tc>
          <w:tcPr>
            <w:tcW w:w="3135" w:type="dxa"/>
            <w:shd w:val="clear" w:color="auto" w:fill="EBF3FB"/>
          </w:tcPr>
          <w:p w:rsidR="00F47252" w:rsidRDefault="00546AF6">
            <w:r>
              <w:rPr>
                <w:rFonts w:ascii="Calibri" w:hAnsi="Calibri"/>
                <w:sz w:val="20"/>
              </w:rPr>
              <w:t>Dato pseudonimizado</w:t>
            </w:r>
          </w:p>
        </w:tc>
        <w:tc>
          <w:tcPr>
            <w:tcW w:w="3135" w:type="dxa"/>
            <w:shd w:val="clear" w:color="auto" w:fill="EBF3FB"/>
          </w:tcPr>
          <w:p w:rsidR="00F47252" w:rsidRDefault="00546AF6">
            <w:r>
              <w:rPr>
                <w:rFonts w:ascii="Calibri" w:hAnsi="Calibri"/>
                <w:sz w:val="20"/>
              </w:rPr>
              <w:t xml:space="preserve">El vínculo se destruyó pero puede </w:t>
            </w:r>
            <w:r>
              <w:rPr>
                <w:rFonts w:ascii="Calibri" w:hAnsi="Calibri"/>
                <w:sz w:val="20"/>
              </w:rPr>
              <w:t>reconstruirse con información adicional.</w:t>
            </w:r>
          </w:p>
        </w:tc>
        <w:tc>
          <w:tcPr>
            <w:tcW w:w="3135" w:type="dxa"/>
            <w:shd w:val="clear" w:color="auto" w:fill="EBF3FB"/>
          </w:tcPr>
          <w:p w:rsidR="00F47252" w:rsidRDefault="00546AF6">
            <w:r>
              <w:rPr>
                <w:rFonts w:ascii="Calibri" w:hAnsi="Calibri"/>
                <w:sz w:val="20"/>
              </w:rPr>
              <w:t>Sigue siendo personal para quien tiene la llave.</w:t>
            </w:r>
          </w:p>
        </w:tc>
      </w:tr>
    </w:tbl>
    <w:p w:rsidR="00F47252" w:rsidRDefault="00F47252"/>
    <w:p w:rsidR="00F47252" w:rsidRDefault="00546AF6">
      <w:pPr>
        <w:spacing w:before="160" w:after="40"/>
      </w:pPr>
      <w:r>
        <w:rPr>
          <w:rFonts w:ascii="Calibri" w:hAnsi="Calibri"/>
          <w:b/>
          <w:color w:val="0070C0"/>
        </w:rPr>
        <w:t>2.5  Persona identificable — criterio de razonabilidad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Regla: </w:t>
      </w:r>
      <w:r>
        <w:rPr>
          <w:rFonts w:ascii="Calibri" w:hAnsi="Calibri"/>
        </w:rPr>
        <w:t>La identificabilidad es CONTEXTUAL: depende de los medios y factores objetivos disponibles para el age</w:t>
      </w:r>
      <w:r>
        <w:rPr>
          <w:rFonts w:ascii="Calibri" w:hAnsi="Calibri"/>
        </w:rPr>
        <w:t>nte específico.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Ejemplo 1: </w:t>
      </w:r>
      <w:r>
        <w:rPr>
          <w:rFonts w:ascii="Calibri" w:hAnsi="Calibri"/>
        </w:rPr>
        <w:t>ISP → la dirección IP sí es dato personal (tiene la llave para vincularla con el usuario).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Ejemplo 2: </w:t>
      </w:r>
      <w:r>
        <w:rPr>
          <w:rFonts w:ascii="Calibri" w:hAnsi="Calibri"/>
        </w:rPr>
        <w:t>Administrador de sitio web → la misma IP puede NO ser dato personal (no tiene información adicional).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Ejemplo 3: </w:t>
      </w:r>
      <w:r>
        <w:rPr>
          <w:rFonts w:ascii="Calibri" w:hAnsi="Calibri"/>
        </w:rPr>
        <w:t xml:space="preserve">RUT → siempre </w:t>
      </w:r>
      <w:r>
        <w:rPr>
          <w:rFonts w:ascii="Calibri" w:hAnsi="Calibri"/>
        </w:rPr>
        <w:t>dato personal (rotificadores públicos permiten identificación directa).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Ejemplo 4: </w:t>
      </w:r>
      <w:r>
        <w:rPr>
          <w:rFonts w:ascii="Calibri" w:hAnsi="Calibri"/>
        </w:rPr>
        <w:t>Correo 'don.galan@mail.com' → depende del caso; puede ser personal si hay firma u otra información de contacto.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Ejemplo 5: </w:t>
      </w:r>
      <w:r>
        <w:rPr>
          <w:rFonts w:ascii="Calibri" w:hAnsi="Calibri"/>
        </w:rPr>
        <w:t>Placa patente → siempre dato personal por el Regis</w:t>
      </w:r>
      <w:r>
        <w:rPr>
          <w:rFonts w:ascii="Calibri" w:hAnsi="Calibri"/>
        </w:rPr>
        <w:t>tro de Vehículos Motorizados.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70C0"/>
        </w:rPr>
        <w:t>2.6  Datos Personales Sensibles — Art. 2 letra G (lista TAXATIVA)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</w:rPr>
        <w:t>Todos los sensibles son personales, pero no todos los personales son sensibles.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① </w:t>
      </w:r>
      <w:r>
        <w:rPr>
          <w:rFonts w:ascii="Calibri" w:hAnsi="Calibri"/>
        </w:rPr>
        <w:t>Origen étnico o racial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② </w:t>
      </w:r>
      <w:r>
        <w:rPr>
          <w:rFonts w:ascii="Calibri" w:hAnsi="Calibri"/>
        </w:rPr>
        <w:t>Afiliación política, sindical o gremial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③ </w:t>
      </w:r>
      <w:r>
        <w:rPr>
          <w:rFonts w:ascii="Calibri" w:hAnsi="Calibri"/>
        </w:rPr>
        <w:t xml:space="preserve">Situación </w:t>
      </w:r>
      <w:r>
        <w:rPr>
          <w:rFonts w:ascii="Calibri" w:hAnsi="Calibri"/>
        </w:rPr>
        <w:t>socioeconómica  ← novedad chilena (no está en RGPD)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④ </w:t>
      </w:r>
      <w:r>
        <w:rPr>
          <w:rFonts w:ascii="Calibri" w:hAnsi="Calibri"/>
        </w:rPr>
        <w:t>Convicciones ideológicas o filosóficas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⑤ </w:t>
      </w:r>
      <w:r>
        <w:rPr>
          <w:rFonts w:ascii="Calibri" w:hAnsi="Calibri"/>
        </w:rPr>
        <w:t>Creencias religiosas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t xml:space="preserve">⑥ </w:t>
      </w:r>
      <w:r>
        <w:rPr>
          <w:rFonts w:ascii="Calibri" w:hAnsi="Calibri"/>
        </w:rPr>
        <w:t>Datos de salud, perfil biológico y datos biométricos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  <w:b/>
        </w:rPr>
        <w:lastRenderedPageBreak/>
        <w:t xml:space="preserve">⑦ </w:t>
      </w:r>
      <w:r>
        <w:rPr>
          <w:rFonts w:ascii="Calibri" w:hAnsi="Calibri"/>
        </w:rPr>
        <w:t>Vida sexual, orientación sexual e identidad de género</w:t>
      </w:r>
    </w:p>
    <w:p w:rsidR="00F47252" w:rsidRDefault="00546AF6">
      <w:pPr>
        <w:spacing w:before="80" w:after="80"/>
        <w:ind w:left="283" w:right="283"/>
      </w:pPr>
      <w:r>
        <w:rPr>
          <w:rFonts w:ascii="Calibri" w:hAnsi="Calibri"/>
          <w:i/>
          <w:color w:val="780000"/>
          <w:sz w:val="20"/>
        </w:rPr>
        <w:t>⚠</w:t>
      </w:r>
      <w:r>
        <w:rPr>
          <w:rFonts w:ascii="Calibri" w:hAnsi="Calibri"/>
          <w:i/>
          <w:color w:val="780000"/>
          <w:sz w:val="20"/>
        </w:rPr>
        <w:t xml:space="preserve">  Los hábitos personales fue</w:t>
      </w:r>
      <w:r>
        <w:rPr>
          <w:rFonts w:ascii="Calibri" w:hAnsi="Calibri"/>
          <w:i/>
          <w:color w:val="780000"/>
          <w:sz w:val="20"/>
        </w:rPr>
        <w:t>ron debatidos y finalmente NO se incluyeron. Bases de licitud más estrictas + sanciones más altas + obliga a Evaluación de Impacto cuando se usa base distinta al consentimiento.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70C0"/>
        </w:rPr>
        <w:t>2.7  Categorías Especiales de Datos  ⚠ NO confundir con 'datos sensibles' de l</w:t>
      </w:r>
      <w:r>
        <w:rPr>
          <w:rFonts w:ascii="Calibri" w:hAnsi="Calibri"/>
          <w:b/>
          <w:color w:val="0070C0"/>
        </w:rPr>
        <w:t>a UE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F47252">
        <w:trPr>
          <w:jc w:val="center"/>
        </w:trPr>
        <w:tc>
          <w:tcPr>
            <w:tcW w:w="3118" w:type="dxa"/>
            <w:shd w:val="clear" w:color="auto" w:fill="1F5C99"/>
          </w:tcPr>
          <w:p w:rsidR="00F47252" w:rsidRDefault="00546AF6">
            <w:r>
              <w:rPr>
                <w:rFonts w:ascii="Calibri" w:hAnsi="Calibri"/>
                <w:b/>
                <w:color w:val="FFFFFF"/>
                <w:sz w:val="20"/>
              </w:rPr>
              <w:t>Categoría especial</w:t>
            </w:r>
          </w:p>
        </w:tc>
        <w:tc>
          <w:tcPr>
            <w:tcW w:w="6236" w:type="dxa"/>
            <w:shd w:val="clear" w:color="auto" w:fill="1F5C99"/>
          </w:tcPr>
          <w:p w:rsidR="00F47252" w:rsidRDefault="00546AF6">
            <w:r>
              <w:rPr>
                <w:rFonts w:ascii="Calibri" w:hAnsi="Calibri"/>
                <w:b/>
                <w:color w:val="FFFFFF"/>
                <w:sz w:val="20"/>
              </w:rPr>
              <w:t>Condición especial</w:t>
            </w:r>
          </w:p>
        </w:tc>
      </w:tr>
      <w:tr w:rsidR="00F47252">
        <w:trPr>
          <w:jc w:val="center"/>
        </w:trPr>
        <w:tc>
          <w:tcPr>
            <w:tcW w:w="3118" w:type="dxa"/>
          </w:tcPr>
          <w:p w:rsidR="00F47252" w:rsidRDefault="00546AF6">
            <w:r>
              <w:rPr>
                <w:rFonts w:ascii="Calibri" w:hAnsi="Calibri"/>
                <w:sz w:val="20"/>
              </w:rPr>
              <w:t>Datos de NNA</w:t>
            </w:r>
            <w:r>
              <w:rPr>
                <w:rFonts w:ascii="Calibri" w:hAnsi="Calibri"/>
                <w:sz w:val="20"/>
              </w:rPr>
              <w:br/>
              <w:t>(0-13 años: niños/niñas;</w:t>
            </w:r>
            <w:r>
              <w:rPr>
                <w:rFonts w:ascii="Calibri" w:hAnsi="Calibri"/>
                <w:sz w:val="20"/>
              </w:rPr>
              <w:br/>
              <w:t>14-17 años: adolescentes)</w:t>
            </w:r>
          </w:p>
        </w:tc>
        <w:tc>
          <w:tcPr>
            <w:tcW w:w="6236" w:type="dxa"/>
          </w:tcPr>
          <w:p w:rsidR="00F47252" w:rsidRDefault="00546AF6">
            <w:r>
              <w:rPr>
                <w:rFonts w:ascii="Calibri" w:hAnsi="Calibri"/>
                <w:sz w:val="20"/>
              </w:rPr>
              <w:t>Solo bases: consentimiento de representante legal o autorización legal.</w:t>
            </w:r>
            <w:r>
              <w:rPr>
                <w:rFonts w:ascii="Calibri" w:hAnsi="Calibri"/>
                <w:sz w:val="20"/>
              </w:rPr>
              <w:br/>
              <w:t>• 0-13: siempre representados.</w:t>
            </w:r>
            <w:r>
              <w:rPr>
                <w:rFonts w:ascii="Calibri" w:hAnsi="Calibri"/>
                <w:sz w:val="20"/>
              </w:rPr>
              <w:br/>
              <w:t>• 14-15: pueden consentir datos comunes; NO d</w:t>
            </w:r>
            <w:r>
              <w:rPr>
                <w:rFonts w:ascii="Calibri" w:hAnsi="Calibri"/>
                <w:sz w:val="20"/>
              </w:rPr>
              <w:t>atos sensibles.</w:t>
            </w:r>
            <w:r>
              <w:rPr>
                <w:rFonts w:ascii="Calibri" w:hAnsi="Calibri"/>
                <w:sz w:val="20"/>
              </w:rPr>
              <w:br/>
              <w:t>• 16-17: pueden consentir todo (operan como adultos).</w:t>
            </w:r>
          </w:p>
        </w:tc>
      </w:tr>
      <w:tr w:rsidR="00F47252">
        <w:trPr>
          <w:jc w:val="center"/>
        </w:trPr>
        <w:tc>
          <w:tcPr>
            <w:tcW w:w="3118" w:type="dxa"/>
            <w:shd w:val="clear" w:color="auto" w:fill="EBF3FB"/>
          </w:tcPr>
          <w:p w:rsidR="00F47252" w:rsidRDefault="00546AF6">
            <w:r>
              <w:rPr>
                <w:rFonts w:ascii="Calibri" w:hAnsi="Calibri"/>
                <w:sz w:val="20"/>
              </w:rPr>
              <w:t>Datos con fines históricos,</w:t>
            </w:r>
            <w:r>
              <w:rPr>
                <w:rFonts w:ascii="Calibri" w:hAnsi="Calibri"/>
                <w:sz w:val="20"/>
              </w:rPr>
              <w:br/>
              <w:t>estadísticos, científicos o</w:t>
            </w:r>
            <w:r>
              <w:rPr>
                <w:rFonts w:ascii="Calibri" w:hAnsi="Calibri"/>
                <w:sz w:val="20"/>
              </w:rPr>
              <w:br/>
              <w:t>de investigación</w:t>
            </w:r>
          </w:p>
        </w:tc>
        <w:tc>
          <w:tcPr>
            <w:tcW w:w="6236" w:type="dxa"/>
            <w:shd w:val="clear" w:color="auto" w:fill="EBF3FB"/>
          </w:tcPr>
          <w:p w:rsidR="00F47252" w:rsidRDefault="00546AF6">
            <w:r>
              <w:rPr>
                <w:rFonts w:ascii="Calibri" w:hAnsi="Calibri"/>
                <w:sz w:val="20"/>
              </w:rPr>
              <w:t>Se presume interés legítimo. Permite almacenamiento indefinido si resultados se publican anonimizados.</w:t>
            </w:r>
          </w:p>
        </w:tc>
      </w:tr>
      <w:tr w:rsidR="00F47252">
        <w:trPr>
          <w:jc w:val="center"/>
        </w:trPr>
        <w:tc>
          <w:tcPr>
            <w:tcW w:w="3118" w:type="dxa"/>
          </w:tcPr>
          <w:p w:rsidR="00F47252" w:rsidRDefault="00546AF6">
            <w:r>
              <w:rPr>
                <w:rFonts w:ascii="Calibri" w:hAnsi="Calibri"/>
                <w:sz w:val="20"/>
              </w:rPr>
              <w:t>Datos de</w:t>
            </w:r>
            <w:r>
              <w:rPr>
                <w:rFonts w:ascii="Calibri" w:hAnsi="Calibri"/>
                <w:sz w:val="20"/>
              </w:rPr>
              <w:t xml:space="preserve"> geolocalización</w:t>
            </w:r>
          </w:p>
        </w:tc>
        <w:tc>
          <w:tcPr>
            <w:tcW w:w="6236" w:type="dxa"/>
          </w:tcPr>
          <w:p w:rsidR="00F47252" w:rsidRDefault="00546AF6">
            <w:r>
              <w:rPr>
                <w:rFonts w:ascii="Calibri" w:hAnsi="Calibri"/>
                <w:sz w:val="20"/>
              </w:rPr>
              <w:t>Requiere tratamiento técnico específico (GPS, coordenadas). Mismas bases de licitud, pero obliga a informar al titular: tipo de dato, finalidad, duración y si se cede a terceros.</w:t>
            </w:r>
          </w:p>
        </w:tc>
      </w:tr>
    </w:tbl>
    <w:p w:rsidR="00F47252" w:rsidRDefault="00F47252"/>
    <w:p w:rsidR="00F47252" w:rsidRDefault="00546AF6">
      <w:pPr>
        <w:spacing w:before="160" w:after="40"/>
      </w:pPr>
      <w:r>
        <w:rPr>
          <w:rFonts w:ascii="Calibri" w:hAnsi="Calibri"/>
          <w:b/>
          <w:color w:val="0070C0"/>
        </w:rPr>
        <w:t>2.8  Tratamiento de datos personales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</w:rPr>
        <w:t>Cualquier operación s</w:t>
      </w:r>
      <w:r>
        <w:rPr>
          <w:rFonts w:ascii="Calibri" w:hAnsi="Calibri"/>
        </w:rPr>
        <w:t>obre datos personales, automatizada o no: recolectar, almacenar, analizar, comunicar, ceder, predecir, anonimizar…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</w:rPr>
        <w:t>Consultar un dato ya es tratarlo. Tenerlo 'guardado' también es tratamiento.</w:t>
      </w:r>
    </w:p>
    <w:p w:rsidR="00F47252" w:rsidRDefault="00546AF6">
      <w:pPr>
        <w:pStyle w:val="Listaconvietas"/>
        <w:spacing w:after="40"/>
      </w:pPr>
      <w:r>
        <w:rPr>
          <w:rFonts w:ascii="Calibri" w:hAnsi="Calibri"/>
        </w:rPr>
        <w:t>Incluso la anonimización original es un tratamiento (requiere ba</w:t>
      </w:r>
      <w:r>
        <w:rPr>
          <w:rFonts w:ascii="Calibri" w:hAnsi="Calibri"/>
        </w:rPr>
        <w:t>se de licitud).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70C0"/>
        </w:rPr>
        <w:t>2.9  Actores en la relación de tratamiento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47252">
        <w:tc>
          <w:tcPr>
            <w:tcW w:w="3135" w:type="dxa"/>
            <w:shd w:val="clear" w:color="auto" w:fill="1F5C99"/>
          </w:tcPr>
          <w:p w:rsidR="00F47252" w:rsidRDefault="00546AF6">
            <w:r>
              <w:rPr>
                <w:rFonts w:ascii="Calibri" w:hAnsi="Calibri"/>
                <w:b/>
                <w:color w:val="FFFFFF"/>
                <w:sz w:val="20"/>
              </w:rPr>
              <w:t>Actor</w:t>
            </w:r>
          </w:p>
        </w:tc>
        <w:tc>
          <w:tcPr>
            <w:tcW w:w="3135" w:type="dxa"/>
            <w:shd w:val="clear" w:color="auto" w:fill="1F5C99"/>
          </w:tcPr>
          <w:p w:rsidR="00F47252" w:rsidRDefault="00546AF6">
            <w:r>
              <w:rPr>
                <w:rFonts w:ascii="Calibri" w:hAnsi="Calibri"/>
                <w:b/>
                <w:color w:val="FFFFFF"/>
                <w:sz w:val="20"/>
              </w:rPr>
              <w:t>Quién</w:t>
            </w:r>
          </w:p>
        </w:tc>
        <w:tc>
          <w:tcPr>
            <w:tcW w:w="3135" w:type="dxa"/>
            <w:shd w:val="clear" w:color="auto" w:fill="1F5C99"/>
          </w:tcPr>
          <w:p w:rsidR="00F47252" w:rsidRDefault="00546AF6">
            <w:r>
              <w:rPr>
                <w:rFonts w:ascii="Calibri" w:hAnsi="Calibri"/>
                <w:b/>
                <w:color w:val="FFFFFF"/>
                <w:sz w:val="20"/>
              </w:rPr>
              <w:t>Responsabilidad</w:t>
            </w:r>
          </w:p>
        </w:tc>
      </w:tr>
      <w:tr w:rsidR="00F47252">
        <w:tc>
          <w:tcPr>
            <w:tcW w:w="3135" w:type="dxa"/>
          </w:tcPr>
          <w:p w:rsidR="00F47252" w:rsidRDefault="00546AF6">
            <w:r>
              <w:rPr>
                <w:rFonts w:ascii="Calibri" w:hAnsi="Calibri"/>
                <w:sz w:val="20"/>
              </w:rPr>
              <w:t>Titular</w:t>
            </w:r>
          </w:p>
        </w:tc>
        <w:tc>
          <w:tcPr>
            <w:tcW w:w="3135" w:type="dxa"/>
          </w:tcPr>
          <w:p w:rsidR="00F47252" w:rsidRDefault="00546AF6">
            <w:r>
              <w:rPr>
                <w:rFonts w:ascii="Calibri" w:hAnsi="Calibri"/>
                <w:sz w:val="20"/>
              </w:rPr>
              <w:t>Persona natural a quien refieren los datos.</w:t>
            </w:r>
          </w:p>
        </w:tc>
        <w:tc>
          <w:tcPr>
            <w:tcW w:w="3135" w:type="dxa"/>
          </w:tcPr>
          <w:p w:rsidR="00F47252" w:rsidRDefault="00546AF6">
            <w:r>
              <w:rPr>
                <w:rFonts w:ascii="Calibri" w:hAnsi="Calibri"/>
                <w:sz w:val="20"/>
              </w:rPr>
              <w:t>Ejerce el derecho de autodeterminación informativa.</w:t>
            </w:r>
          </w:p>
        </w:tc>
      </w:tr>
      <w:tr w:rsidR="00F47252">
        <w:tc>
          <w:tcPr>
            <w:tcW w:w="3135" w:type="dxa"/>
            <w:shd w:val="clear" w:color="auto" w:fill="EBF3FB"/>
          </w:tcPr>
          <w:p w:rsidR="00F47252" w:rsidRDefault="00546AF6">
            <w:r>
              <w:rPr>
                <w:rFonts w:ascii="Calibri" w:hAnsi="Calibri"/>
                <w:sz w:val="20"/>
              </w:rPr>
              <w:t>Responsable de base de datos</w:t>
            </w:r>
          </w:p>
        </w:tc>
        <w:tc>
          <w:tcPr>
            <w:tcW w:w="3135" w:type="dxa"/>
            <w:shd w:val="clear" w:color="auto" w:fill="EBF3FB"/>
          </w:tcPr>
          <w:p w:rsidR="00F47252" w:rsidRDefault="00546AF6">
            <w:r>
              <w:rPr>
                <w:rFonts w:ascii="Calibri" w:hAnsi="Calibri"/>
                <w:sz w:val="20"/>
              </w:rPr>
              <w:t xml:space="preserve">Persona natural o jurídica, </w:t>
            </w:r>
            <w:r>
              <w:rPr>
                <w:rFonts w:ascii="Calibri" w:hAnsi="Calibri"/>
                <w:sz w:val="20"/>
              </w:rPr>
              <w:t>pública o privada, que decide los fines y medios del tratamiento.</w:t>
            </w:r>
          </w:p>
        </w:tc>
        <w:tc>
          <w:tcPr>
            <w:tcW w:w="3135" w:type="dxa"/>
            <w:shd w:val="clear" w:color="auto" w:fill="EBF3FB"/>
          </w:tcPr>
          <w:p w:rsidR="00F47252" w:rsidRDefault="00546AF6">
            <w:r>
              <w:rPr>
                <w:rFonts w:ascii="Calibri" w:hAnsi="Calibri"/>
                <w:sz w:val="20"/>
              </w:rPr>
              <w:t>Responde por incumplimientos, incluyendo los del encargado.</w:t>
            </w:r>
          </w:p>
        </w:tc>
      </w:tr>
      <w:tr w:rsidR="00F47252">
        <w:tc>
          <w:tcPr>
            <w:tcW w:w="3135" w:type="dxa"/>
          </w:tcPr>
          <w:p w:rsidR="00F47252" w:rsidRDefault="00546AF6">
            <w:r>
              <w:rPr>
                <w:rFonts w:ascii="Calibri" w:hAnsi="Calibri"/>
                <w:sz w:val="20"/>
              </w:rPr>
              <w:t>Encargado / Mandatario</w:t>
            </w:r>
          </w:p>
        </w:tc>
        <w:tc>
          <w:tcPr>
            <w:tcW w:w="3135" w:type="dxa"/>
          </w:tcPr>
          <w:p w:rsidR="00F47252" w:rsidRDefault="00546AF6">
            <w:r>
              <w:rPr>
                <w:rFonts w:ascii="Calibri" w:hAnsi="Calibri"/>
                <w:sz w:val="20"/>
              </w:rPr>
              <w:t>Tercero que procesa los datos por cuenta y riesgo del responsable, siguiendo sus instrucciones.</w:t>
            </w:r>
          </w:p>
        </w:tc>
        <w:tc>
          <w:tcPr>
            <w:tcW w:w="3135" w:type="dxa"/>
          </w:tcPr>
          <w:p w:rsidR="00F47252" w:rsidRDefault="00546AF6">
            <w:r>
              <w:rPr>
                <w:rFonts w:ascii="Calibri" w:hAnsi="Calibri"/>
                <w:sz w:val="20"/>
              </w:rPr>
              <w:t>Actúa como</w:t>
            </w:r>
            <w:r>
              <w:rPr>
                <w:rFonts w:ascii="Calibri" w:hAnsi="Calibri"/>
                <w:sz w:val="20"/>
              </w:rPr>
              <w:t xml:space="preserve"> representante; incumplimientos recaen en el responsable.</w:t>
            </w:r>
          </w:p>
        </w:tc>
      </w:tr>
      <w:tr w:rsidR="00F47252">
        <w:tc>
          <w:tcPr>
            <w:tcW w:w="3135" w:type="dxa"/>
            <w:shd w:val="clear" w:color="auto" w:fill="EBF3FB"/>
          </w:tcPr>
          <w:p w:rsidR="00F47252" w:rsidRDefault="00546AF6">
            <w:r>
              <w:rPr>
                <w:rFonts w:ascii="Calibri" w:hAnsi="Calibri"/>
                <w:sz w:val="20"/>
              </w:rPr>
              <w:t>Corresponsables</w:t>
            </w:r>
          </w:p>
        </w:tc>
        <w:tc>
          <w:tcPr>
            <w:tcW w:w="3135" w:type="dxa"/>
            <w:shd w:val="clear" w:color="auto" w:fill="EBF3FB"/>
          </w:tcPr>
          <w:p w:rsidR="00F47252" w:rsidRDefault="00546AF6">
            <w:r>
              <w:rPr>
                <w:rFonts w:ascii="Calibri" w:hAnsi="Calibri"/>
                <w:sz w:val="20"/>
              </w:rPr>
              <w:t>Dos o más organizaciones que deciden conjuntamente sobre fines y medios.</w:t>
            </w:r>
          </w:p>
        </w:tc>
        <w:tc>
          <w:tcPr>
            <w:tcW w:w="3135" w:type="dxa"/>
            <w:shd w:val="clear" w:color="auto" w:fill="EBF3FB"/>
          </w:tcPr>
          <w:p w:rsidR="00F47252" w:rsidRDefault="00546AF6">
            <w:r>
              <w:rPr>
                <w:rFonts w:ascii="Calibri" w:hAnsi="Calibri"/>
                <w:sz w:val="20"/>
              </w:rPr>
              <w:t>Definen reglas de responsabilidad interna entre ellos.</w:t>
            </w:r>
          </w:p>
        </w:tc>
      </w:tr>
    </w:tbl>
    <w:p w:rsidR="00F47252" w:rsidRDefault="00F47252"/>
    <w:p w:rsidR="00F47252" w:rsidRDefault="00546AF6">
      <w:pPr>
        <w:spacing w:before="80" w:after="80"/>
      </w:pPr>
      <w:r>
        <w:rPr>
          <w:rFonts w:ascii="Calibri" w:hAnsi="Calibri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47252" w:rsidRDefault="00546AF6">
      <w:pPr>
        <w:spacing w:before="240" w:after="80"/>
      </w:pPr>
      <w:r>
        <w:rPr>
          <w:rFonts w:ascii="Calibri" w:hAnsi="Calibri"/>
          <w:b/>
          <w:color w:val="00467F"/>
          <w:sz w:val="28"/>
        </w:rPr>
        <w:t>3. MAPA MENTAL — LEY 21.719 MÓDULO 1</w:t>
      </w:r>
    </w:p>
    <w:p w:rsidR="00F47252" w:rsidRDefault="00546AF6">
      <w:pPr>
        <w:spacing w:before="80" w:after="40"/>
      </w:pPr>
      <w:r>
        <w:rPr>
          <w:rFonts w:ascii="Calibri" w:hAnsi="Calibri"/>
          <w:b/>
          <w:color w:val="00467F"/>
        </w:rPr>
        <w:t>●  Marco general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Modifica Ley 19.628 (Ley sobre Protección de Datos Personales)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Vigencia: 1 diciembre 2026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Inspirada en el RGPD d</w:t>
      </w:r>
      <w:r>
        <w:rPr>
          <w:rFonts w:ascii="Calibri" w:hAnsi="Calibri"/>
          <w:color w:val="505050"/>
          <w:sz w:val="20"/>
        </w:rPr>
        <w:t>e la UE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Derecho fundamental: autodeterminación informativa</w:t>
      </w:r>
    </w:p>
    <w:p w:rsidR="00F47252" w:rsidRDefault="00546AF6">
      <w:pPr>
        <w:spacing w:before="80" w:after="40"/>
      </w:pPr>
      <w:r>
        <w:rPr>
          <w:rFonts w:ascii="Calibri" w:hAnsi="Calibri"/>
          <w:b/>
          <w:color w:val="00467F"/>
        </w:rPr>
        <w:t>●  Dato personal (Art. 2-F)</w:t>
      </w:r>
    </w:p>
    <w:p w:rsidR="00F47252" w:rsidRDefault="00546AF6">
      <w:pPr>
        <w:spacing w:before="40" w:after="40"/>
        <w:ind w:left="397"/>
      </w:pPr>
      <w:r>
        <w:rPr>
          <w:rFonts w:ascii="Calibri" w:hAnsi="Calibri"/>
          <w:b/>
          <w:color w:val="0070C0"/>
          <w:sz w:val="20"/>
        </w:rPr>
        <w:t>▸</w:t>
      </w:r>
      <w:r>
        <w:rPr>
          <w:rFonts w:ascii="Calibri" w:hAnsi="Calibri"/>
          <w:b/>
          <w:color w:val="0070C0"/>
          <w:sz w:val="20"/>
        </w:rPr>
        <w:t xml:space="preserve">  3 elementos</w:t>
      </w:r>
    </w:p>
    <w:p w:rsidR="00F47252" w:rsidRDefault="00546AF6">
      <w:pPr>
        <w:spacing w:after="20"/>
        <w:ind w:left="794"/>
      </w:pPr>
      <w:r>
        <w:rPr>
          <w:rFonts w:ascii="Calibri" w:hAnsi="Calibri"/>
          <w:color w:val="505050"/>
          <w:sz w:val="20"/>
        </w:rPr>
        <w:lastRenderedPageBreak/>
        <w:t>·  ① Información (cualquier tipo)</w:t>
      </w:r>
    </w:p>
    <w:p w:rsidR="00F47252" w:rsidRDefault="00546AF6">
      <w:pPr>
        <w:spacing w:after="20"/>
        <w:ind w:left="794"/>
      </w:pPr>
      <w:r>
        <w:rPr>
          <w:rFonts w:ascii="Calibri" w:hAnsi="Calibri"/>
          <w:color w:val="505050"/>
          <w:sz w:val="20"/>
        </w:rPr>
        <w:t>·  ② Vínculo con persona</w:t>
      </w:r>
    </w:p>
    <w:p w:rsidR="00F47252" w:rsidRDefault="00546AF6">
      <w:pPr>
        <w:spacing w:after="20"/>
        <w:ind w:left="794"/>
      </w:pPr>
      <w:r>
        <w:rPr>
          <w:rFonts w:ascii="Calibri" w:hAnsi="Calibri"/>
          <w:color w:val="505050"/>
          <w:sz w:val="20"/>
        </w:rPr>
        <w:t>·  ③ Persona natural</w:t>
      </w:r>
    </w:p>
    <w:p w:rsidR="00F47252" w:rsidRDefault="00546AF6">
      <w:pPr>
        <w:spacing w:before="40" w:after="40"/>
        <w:ind w:left="397"/>
      </w:pPr>
      <w:r>
        <w:rPr>
          <w:rFonts w:ascii="Calibri" w:hAnsi="Calibri"/>
          <w:b/>
          <w:color w:val="0070C0"/>
          <w:sz w:val="20"/>
        </w:rPr>
        <w:t>▸</w:t>
      </w:r>
      <w:r>
        <w:rPr>
          <w:rFonts w:ascii="Calibri" w:hAnsi="Calibri"/>
          <w:b/>
          <w:color w:val="0070C0"/>
          <w:sz w:val="20"/>
        </w:rPr>
        <w:t xml:space="preserve">  Identificabilidad</w:t>
      </w:r>
    </w:p>
    <w:p w:rsidR="00F47252" w:rsidRDefault="00546AF6">
      <w:pPr>
        <w:spacing w:after="20"/>
        <w:ind w:left="794"/>
      </w:pPr>
      <w:r>
        <w:rPr>
          <w:rFonts w:ascii="Calibri" w:hAnsi="Calibri"/>
          <w:color w:val="505050"/>
          <w:sz w:val="20"/>
        </w:rPr>
        <w:t>·  Directa (RUT, nombre)</w:t>
      </w:r>
    </w:p>
    <w:p w:rsidR="00F47252" w:rsidRDefault="00546AF6">
      <w:pPr>
        <w:spacing w:after="20"/>
        <w:ind w:left="794"/>
      </w:pPr>
      <w:r>
        <w:rPr>
          <w:rFonts w:ascii="Calibri" w:hAnsi="Calibri"/>
          <w:color w:val="505050"/>
          <w:sz w:val="20"/>
        </w:rPr>
        <w:t xml:space="preserve">·  Indirecta (IP, </w:t>
      </w:r>
      <w:r>
        <w:rPr>
          <w:rFonts w:ascii="Calibri" w:hAnsi="Calibri"/>
          <w:color w:val="505050"/>
          <w:sz w:val="20"/>
        </w:rPr>
        <w:t>patente, correo)</w:t>
      </w:r>
    </w:p>
    <w:p w:rsidR="00F47252" w:rsidRDefault="00546AF6">
      <w:pPr>
        <w:spacing w:after="20"/>
        <w:ind w:left="794"/>
      </w:pPr>
      <w:r>
        <w:rPr>
          <w:rFonts w:ascii="Calibri" w:hAnsi="Calibri"/>
          <w:color w:val="505050"/>
          <w:sz w:val="20"/>
        </w:rPr>
        <w:t>·  Criterio: medios objetivos razonables</w:t>
      </w:r>
    </w:p>
    <w:p w:rsidR="00F47252" w:rsidRDefault="00546AF6">
      <w:pPr>
        <w:spacing w:after="20"/>
        <w:ind w:left="794"/>
      </w:pPr>
      <w:r>
        <w:rPr>
          <w:rFonts w:ascii="Calibri" w:hAnsi="Calibri"/>
          <w:color w:val="505050"/>
          <w:sz w:val="20"/>
        </w:rPr>
        <w:t>·  Depende de QUIÉN tiene la información → dato de Schrödinger</w:t>
      </w:r>
    </w:p>
    <w:p w:rsidR="00F47252" w:rsidRDefault="00546AF6">
      <w:pPr>
        <w:spacing w:before="80" w:after="40"/>
      </w:pPr>
      <w:r>
        <w:rPr>
          <w:rFonts w:ascii="Calibri" w:hAnsi="Calibri"/>
          <w:b/>
          <w:color w:val="00467F"/>
        </w:rPr>
        <w:t>●  Clasificación de datos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Dato personal → ley aplica plenamente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Dato estadístico → no personal, libre tratamiento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Dato anonimi</w:t>
      </w:r>
      <w:r>
        <w:rPr>
          <w:rFonts w:ascii="Calibri" w:hAnsi="Calibri"/>
          <w:color w:val="505050"/>
          <w:sz w:val="20"/>
        </w:rPr>
        <w:t>zado → destrucción irreversible del vínculo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Dato pseudonimizado → vínculo destruido pero reconstruible</w:t>
      </w:r>
    </w:p>
    <w:p w:rsidR="00F47252" w:rsidRDefault="00546AF6">
      <w:pPr>
        <w:spacing w:before="80" w:after="40"/>
      </w:pPr>
      <w:r>
        <w:rPr>
          <w:rFonts w:ascii="Calibri" w:hAnsi="Calibri"/>
          <w:b/>
          <w:color w:val="00467F"/>
        </w:rPr>
        <w:t>●  Datos sensibles (taxativo)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Origen étnico/racial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Afiliación política/sindical/gremial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Situación socioeconómica ← exclusivo Chile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Convicc</w:t>
      </w:r>
      <w:r>
        <w:rPr>
          <w:rFonts w:ascii="Calibri" w:hAnsi="Calibri"/>
          <w:color w:val="505050"/>
          <w:sz w:val="20"/>
        </w:rPr>
        <w:t>iones ideológicas/filosóficas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Creencias religiosas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Salud, perfil biológico, biométrico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Vida sexual, orientación, identidad género</w:t>
      </w:r>
    </w:p>
    <w:p w:rsidR="00F47252" w:rsidRDefault="00546AF6">
      <w:pPr>
        <w:spacing w:before="80" w:after="40"/>
      </w:pPr>
      <w:r>
        <w:rPr>
          <w:rFonts w:ascii="Calibri" w:hAnsi="Calibri"/>
          <w:b/>
          <w:color w:val="00467F"/>
        </w:rPr>
        <w:t>●  Categorías especiales</w:t>
      </w:r>
    </w:p>
    <w:p w:rsidR="00F47252" w:rsidRDefault="00546AF6">
      <w:pPr>
        <w:spacing w:before="40" w:after="40"/>
        <w:ind w:left="397"/>
      </w:pPr>
      <w:r>
        <w:rPr>
          <w:rFonts w:ascii="Calibri" w:hAnsi="Calibri"/>
          <w:b/>
          <w:color w:val="0070C0"/>
          <w:sz w:val="20"/>
        </w:rPr>
        <w:t>▸</w:t>
      </w:r>
      <w:r>
        <w:rPr>
          <w:rFonts w:ascii="Calibri" w:hAnsi="Calibri"/>
          <w:b/>
          <w:color w:val="0070C0"/>
          <w:sz w:val="20"/>
        </w:rPr>
        <w:t xml:space="preserve">  NNA</w:t>
      </w:r>
    </w:p>
    <w:p w:rsidR="00F47252" w:rsidRDefault="00546AF6">
      <w:pPr>
        <w:spacing w:after="20"/>
        <w:ind w:left="794"/>
      </w:pPr>
      <w:r>
        <w:rPr>
          <w:rFonts w:ascii="Calibri" w:hAnsi="Calibri"/>
          <w:color w:val="505050"/>
          <w:sz w:val="20"/>
        </w:rPr>
        <w:t>·  0-13: representante siempre</w:t>
      </w:r>
    </w:p>
    <w:p w:rsidR="00F47252" w:rsidRDefault="00546AF6">
      <w:pPr>
        <w:spacing w:after="20"/>
        <w:ind w:left="794"/>
      </w:pPr>
      <w:r>
        <w:rPr>
          <w:rFonts w:ascii="Calibri" w:hAnsi="Calibri"/>
          <w:color w:val="505050"/>
          <w:sz w:val="20"/>
        </w:rPr>
        <w:t>·  14-15: consienten datos comunes</w:t>
      </w:r>
    </w:p>
    <w:p w:rsidR="00F47252" w:rsidRDefault="00546AF6">
      <w:pPr>
        <w:spacing w:after="20"/>
        <w:ind w:left="794"/>
      </w:pPr>
      <w:r>
        <w:rPr>
          <w:rFonts w:ascii="Calibri" w:hAnsi="Calibri"/>
          <w:color w:val="505050"/>
          <w:sz w:val="20"/>
        </w:rPr>
        <w:t xml:space="preserve">·  16-17: </w:t>
      </w:r>
      <w:r>
        <w:rPr>
          <w:rFonts w:ascii="Calibri" w:hAnsi="Calibri"/>
          <w:color w:val="505050"/>
          <w:sz w:val="20"/>
        </w:rPr>
        <w:t>consienten todo</w:t>
      </w:r>
    </w:p>
    <w:p w:rsidR="00F47252" w:rsidRDefault="00546AF6">
      <w:pPr>
        <w:spacing w:before="40" w:after="40"/>
        <w:ind w:left="397"/>
      </w:pPr>
      <w:r>
        <w:rPr>
          <w:rFonts w:ascii="Calibri" w:hAnsi="Calibri"/>
          <w:b/>
          <w:color w:val="0070C0"/>
          <w:sz w:val="20"/>
        </w:rPr>
        <w:t>▸</w:t>
      </w:r>
      <w:r>
        <w:rPr>
          <w:rFonts w:ascii="Calibri" w:hAnsi="Calibri"/>
          <w:b/>
          <w:color w:val="0070C0"/>
          <w:sz w:val="20"/>
        </w:rPr>
        <w:t xml:space="preserve">  Histórico/estadístico/científico</w:t>
      </w:r>
    </w:p>
    <w:p w:rsidR="00F47252" w:rsidRDefault="00546AF6">
      <w:pPr>
        <w:spacing w:after="20"/>
        <w:ind w:left="794"/>
      </w:pPr>
      <w:r>
        <w:rPr>
          <w:rFonts w:ascii="Calibri" w:hAnsi="Calibri"/>
          <w:color w:val="505050"/>
          <w:sz w:val="20"/>
        </w:rPr>
        <w:t>·  Interés legítimo presumido</w:t>
      </w:r>
    </w:p>
    <w:p w:rsidR="00F47252" w:rsidRDefault="00546AF6">
      <w:pPr>
        <w:spacing w:after="20"/>
        <w:ind w:left="794"/>
      </w:pPr>
      <w:r>
        <w:rPr>
          <w:rFonts w:ascii="Calibri" w:hAnsi="Calibri"/>
          <w:color w:val="505050"/>
          <w:sz w:val="20"/>
        </w:rPr>
        <w:t>·  Almacenamiento indefinido posible</w:t>
      </w:r>
    </w:p>
    <w:p w:rsidR="00F47252" w:rsidRDefault="00546AF6">
      <w:pPr>
        <w:spacing w:before="40" w:after="40"/>
        <w:ind w:left="397"/>
      </w:pPr>
      <w:r>
        <w:rPr>
          <w:rFonts w:ascii="Calibri" w:hAnsi="Calibri"/>
          <w:b/>
          <w:color w:val="0070C0"/>
          <w:sz w:val="20"/>
        </w:rPr>
        <w:t>▸</w:t>
      </w:r>
      <w:r>
        <w:rPr>
          <w:rFonts w:ascii="Calibri" w:hAnsi="Calibri"/>
          <w:b/>
          <w:color w:val="0070C0"/>
          <w:sz w:val="20"/>
        </w:rPr>
        <w:t xml:space="preserve">  Geolocalización</w:t>
      </w:r>
    </w:p>
    <w:p w:rsidR="00F47252" w:rsidRDefault="00546AF6">
      <w:pPr>
        <w:spacing w:after="20"/>
        <w:ind w:left="794"/>
      </w:pPr>
      <w:r>
        <w:rPr>
          <w:rFonts w:ascii="Calibri" w:hAnsi="Calibri"/>
          <w:color w:val="505050"/>
          <w:sz w:val="20"/>
        </w:rPr>
        <w:t>·  Tratamiento técnico específico</w:t>
      </w:r>
    </w:p>
    <w:p w:rsidR="00F47252" w:rsidRDefault="00546AF6">
      <w:pPr>
        <w:spacing w:after="20"/>
        <w:ind w:left="794"/>
      </w:pPr>
      <w:r>
        <w:rPr>
          <w:rFonts w:ascii="Calibri" w:hAnsi="Calibri"/>
          <w:color w:val="505050"/>
          <w:sz w:val="20"/>
        </w:rPr>
        <w:t>·  Obligación de informar al titular</w:t>
      </w:r>
    </w:p>
    <w:p w:rsidR="00F47252" w:rsidRDefault="00546AF6">
      <w:pPr>
        <w:spacing w:before="80" w:after="40"/>
      </w:pPr>
      <w:r>
        <w:rPr>
          <w:rFonts w:ascii="Calibri" w:hAnsi="Calibri"/>
          <w:b/>
          <w:color w:val="00467F"/>
        </w:rPr>
        <w:t>●  Tratamiento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 xml:space="preserve">·  Cualquier operación sobre </w:t>
      </w:r>
      <w:r>
        <w:rPr>
          <w:rFonts w:ascii="Calibri" w:hAnsi="Calibri"/>
          <w:color w:val="505050"/>
          <w:sz w:val="20"/>
        </w:rPr>
        <w:t>datos personales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Automatizada o no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Consultar = tratar | Almacenar = tratar | Anonimizar = tratar</w:t>
      </w:r>
    </w:p>
    <w:p w:rsidR="00F47252" w:rsidRDefault="00546AF6">
      <w:pPr>
        <w:spacing w:before="80" w:after="40"/>
      </w:pPr>
      <w:r>
        <w:rPr>
          <w:rFonts w:ascii="Calibri" w:hAnsi="Calibri"/>
          <w:b/>
          <w:color w:val="00467F"/>
        </w:rPr>
        <w:t>●  Actores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Titular → persona natural, ejerce control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Responsable → decide fines y medios, responde por todo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Encargado → actúa por cuenta del res</w:t>
      </w:r>
      <w:r>
        <w:rPr>
          <w:rFonts w:ascii="Calibri" w:hAnsi="Calibri"/>
          <w:color w:val="505050"/>
          <w:sz w:val="20"/>
        </w:rPr>
        <w:t>ponsable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Corresponsable → decisión conjunta</w:t>
      </w:r>
    </w:p>
    <w:p w:rsidR="00F47252" w:rsidRDefault="00546AF6">
      <w:pPr>
        <w:spacing w:before="80" w:after="40"/>
      </w:pPr>
      <w:r>
        <w:rPr>
          <w:rFonts w:ascii="Calibri" w:hAnsi="Calibri"/>
          <w:b/>
          <w:color w:val="00467F"/>
        </w:rPr>
        <w:t>●  Próxima clase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lastRenderedPageBreak/>
        <w:t>·  Principios generales de la ley</w:t>
      </w:r>
    </w:p>
    <w:p w:rsidR="00F47252" w:rsidRDefault="00546AF6">
      <w:pPr>
        <w:spacing w:after="20"/>
        <w:ind w:left="397"/>
      </w:pPr>
      <w:r>
        <w:rPr>
          <w:rFonts w:ascii="Calibri" w:hAnsi="Calibri"/>
          <w:color w:val="505050"/>
          <w:sz w:val="20"/>
        </w:rPr>
        <w:t>·  Bases de licitud para el tratamiento</w:t>
      </w:r>
    </w:p>
    <w:p w:rsidR="00F47252" w:rsidRDefault="00F47252"/>
    <w:p w:rsidR="00F47252" w:rsidRDefault="00546AF6">
      <w:pPr>
        <w:spacing w:before="80" w:after="80"/>
      </w:pPr>
      <w:r>
        <w:rPr>
          <w:rFonts w:ascii="Calibri" w:hAnsi="Calibri"/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F47252" w:rsidRDefault="00546AF6">
      <w:pPr>
        <w:spacing w:before="240" w:after="80"/>
      </w:pPr>
      <w:r>
        <w:rPr>
          <w:rFonts w:ascii="Calibri" w:hAnsi="Calibri"/>
          <w:b/>
          <w:color w:val="00467F"/>
          <w:sz w:val="28"/>
        </w:rPr>
        <w:t xml:space="preserve">4. FRASES Y CONCEPTOS CLAVE PARA TU </w:t>
      </w:r>
      <w:r>
        <w:rPr>
          <w:rFonts w:ascii="Calibri" w:hAnsi="Calibri"/>
          <w:b/>
          <w:color w:val="00467F"/>
          <w:sz w:val="28"/>
        </w:rPr>
        <w:t>CONVERSACIÓN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467F"/>
        </w:rPr>
        <w:t>▸</w:t>
      </w:r>
      <w:r>
        <w:rPr>
          <w:rFonts w:ascii="Calibri" w:hAnsi="Calibri"/>
          <w:b/>
          <w:color w:val="00467F"/>
        </w:rPr>
        <w:t xml:space="preserve">  El dato de Schrödinger</w:t>
      </w:r>
    </w:p>
    <w:p w:rsidR="00F47252" w:rsidRDefault="00546AF6">
      <w:pPr>
        <w:spacing w:after="80"/>
        <w:ind w:left="454"/>
      </w:pPr>
      <w:r>
        <w:rPr>
          <w:rFonts w:ascii="Calibri" w:hAnsi="Calibri"/>
          <w:color w:val="3C3C3C"/>
          <w:sz w:val="20"/>
        </w:rPr>
        <w:t>Un mismo dato puede ser personal para una organización y no serlo para otra, dependiendo de si tiene medios objetivos para identificar al titular. Preguntar siempre: ¿personal para quién?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467F"/>
        </w:rPr>
        <w:t>▸</w:t>
      </w:r>
      <w:r>
        <w:rPr>
          <w:rFonts w:ascii="Calibri" w:hAnsi="Calibri"/>
          <w:b/>
          <w:color w:val="00467F"/>
        </w:rPr>
        <w:t xml:space="preserve">  Titularidad ≠ propiedad</w:t>
      </w:r>
    </w:p>
    <w:p w:rsidR="00F47252" w:rsidRDefault="00546AF6">
      <w:pPr>
        <w:spacing w:after="80"/>
        <w:ind w:left="454"/>
      </w:pPr>
      <w:r>
        <w:rPr>
          <w:rFonts w:ascii="Calibri" w:hAnsi="Calibri"/>
          <w:color w:val="3C3C3C"/>
          <w:sz w:val="20"/>
        </w:rPr>
        <w:t>En</w:t>
      </w:r>
      <w:r>
        <w:rPr>
          <w:rFonts w:ascii="Calibri" w:hAnsi="Calibri"/>
          <w:color w:val="3C3C3C"/>
          <w:sz w:val="20"/>
        </w:rPr>
        <w:t xml:space="preserve"> Chile uno no 'vende' ni 'transfiere' sus datos. El vínculo persona-dato es permanente; es un atributo de la personalidad basado en la autodeterminación informativa.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467F"/>
        </w:rPr>
        <w:t>▸</w:t>
      </w:r>
      <w:r>
        <w:rPr>
          <w:rFonts w:ascii="Calibri" w:hAnsi="Calibri"/>
          <w:b/>
          <w:color w:val="00467F"/>
        </w:rPr>
        <w:t xml:space="preserve">  Datos sensibles = lista cerrada</w:t>
      </w:r>
    </w:p>
    <w:p w:rsidR="00F47252" w:rsidRDefault="00546AF6">
      <w:pPr>
        <w:spacing w:after="80"/>
        <w:ind w:left="454"/>
      </w:pPr>
      <w:r>
        <w:rPr>
          <w:rFonts w:ascii="Calibri" w:hAnsi="Calibri"/>
          <w:color w:val="3C3C3C"/>
          <w:sz w:val="20"/>
        </w:rPr>
        <w:t xml:space="preserve">A diferencia de la Ley 19.628 anterior, la Ley 21.719 </w:t>
      </w:r>
      <w:r>
        <w:rPr>
          <w:rFonts w:ascii="Calibri" w:hAnsi="Calibri"/>
          <w:color w:val="3C3C3C"/>
          <w:sz w:val="20"/>
        </w:rPr>
        <w:t>tiene un listado taxativo. Si el dato no está en esa lista, no es sensible (aunque sea personal).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467F"/>
        </w:rPr>
        <w:t>▸</w:t>
      </w:r>
      <w:r>
        <w:rPr>
          <w:rFonts w:ascii="Calibri" w:hAnsi="Calibri"/>
          <w:b/>
          <w:color w:val="00467F"/>
        </w:rPr>
        <w:t xml:space="preserve">  Categoría especial ≠ dato sensible (UE)</w:t>
      </w:r>
    </w:p>
    <w:p w:rsidR="00F47252" w:rsidRDefault="00546AF6">
      <w:pPr>
        <w:spacing w:after="80"/>
        <w:ind w:left="454"/>
      </w:pPr>
      <w:r>
        <w:rPr>
          <w:rFonts w:ascii="Calibri" w:hAnsi="Calibri"/>
          <w:color w:val="3C3C3C"/>
          <w:sz w:val="20"/>
        </w:rPr>
        <w:t>En la UE ambos términos son sinónimos. En Chile son cosas distintas: categoría especial son datos con reglas especí</w:t>
      </w:r>
      <w:r>
        <w:rPr>
          <w:rFonts w:ascii="Calibri" w:hAnsi="Calibri"/>
          <w:color w:val="3C3C3C"/>
          <w:sz w:val="20"/>
        </w:rPr>
        <w:t>ficas de tratamiento, que pueden ser más o menos restrictivas.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467F"/>
        </w:rPr>
        <w:t>▸</w:t>
      </w:r>
      <w:r>
        <w:rPr>
          <w:rFonts w:ascii="Calibri" w:hAnsi="Calibri"/>
          <w:b/>
          <w:color w:val="00467F"/>
        </w:rPr>
        <w:t xml:space="preserve">  Almacenar = tratar</w:t>
      </w:r>
    </w:p>
    <w:p w:rsidR="00F47252" w:rsidRDefault="00546AF6">
      <w:pPr>
        <w:spacing w:after="80"/>
        <w:ind w:left="454"/>
      </w:pPr>
      <w:r>
        <w:rPr>
          <w:rFonts w:ascii="Calibri" w:hAnsi="Calibri"/>
          <w:color w:val="3C3C3C"/>
          <w:sz w:val="20"/>
        </w:rPr>
        <w:t>Guardar datos personales ya es un tratamiento que exige base de licitud. No existe el 'solo lo tengo guardado'.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467F"/>
        </w:rPr>
        <w:t>▸</w:t>
      </w:r>
      <w:r>
        <w:rPr>
          <w:rFonts w:ascii="Calibri" w:hAnsi="Calibri"/>
          <w:b/>
          <w:color w:val="00467F"/>
        </w:rPr>
        <w:t xml:space="preserve">  La anonimización también es tratamiento</w:t>
      </w:r>
    </w:p>
    <w:p w:rsidR="00F47252" w:rsidRDefault="00546AF6">
      <w:pPr>
        <w:spacing w:after="80"/>
        <w:ind w:left="454"/>
      </w:pPr>
      <w:r>
        <w:rPr>
          <w:rFonts w:ascii="Calibri" w:hAnsi="Calibri"/>
          <w:color w:val="3C3C3C"/>
          <w:sz w:val="20"/>
        </w:rPr>
        <w:t xml:space="preserve">Anonimizar </w:t>
      </w:r>
      <w:r>
        <w:rPr>
          <w:rFonts w:ascii="Calibri" w:hAnsi="Calibri"/>
          <w:color w:val="3C3C3C"/>
          <w:sz w:val="20"/>
        </w:rPr>
        <w:t>requiere una base de licitud para el dato original. El resultado (dato anonimizado) queda libre, pero el proceso mismo está regulado.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467F"/>
        </w:rPr>
        <w:t>▸</w:t>
      </w:r>
      <w:r>
        <w:rPr>
          <w:rFonts w:ascii="Calibri" w:hAnsi="Calibri"/>
          <w:b/>
          <w:color w:val="00467F"/>
        </w:rPr>
        <w:t xml:space="preserve">  El encargado actúa por cuenta del responsable</w:t>
      </w:r>
    </w:p>
    <w:p w:rsidR="00F47252" w:rsidRDefault="00546AF6">
      <w:pPr>
        <w:spacing w:after="80"/>
        <w:ind w:left="454"/>
      </w:pPr>
      <w:r>
        <w:rPr>
          <w:rFonts w:ascii="Calibri" w:hAnsi="Calibri"/>
          <w:color w:val="3C3C3C"/>
          <w:sz w:val="20"/>
        </w:rPr>
        <w:t>Si un proveedor externo incumple, el responsable es quien responde ante l</w:t>
      </w:r>
      <w:r>
        <w:rPr>
          <w:rFonts w:ascii="Calibri" w:hAnsi="Calibri"/>
          <w:color w:val="3C3C3C"/>
          <w:sz w:val="20"/>
        </w:rPr>
        <w:t>a autoridad. Por eso los contratos con encargados son críticos en el cumplimiento normativo.</w:t>
      </w:r>
    </w:p>
    <w:p w:rsidR="00F47252" w:rsidRDefault="00546AF6">
      <w:pPr>
        <w:spacing w:before="160" w:after="40"/>
      </w:pPr>
      <w:r>
        <w:rPr>
          <w:rFonts w:ascii="Calibri" w:hAnsi="Calibri"/>
          <w:b/>
          <w:color w:val="00467F"/>
        </w:rPr>
        <w:t>▸</w:t>
      </w:r>
      <w:r>
        <w:rPr>
          <w:rFonts w:ascii="Calibri" w:hAnsi="Calibri"/>
          <w:b/>
          <w:color w:val="00467F"/>
        </w:rPr>
        <w:t xml:space="preserve">  Vigencia: 1 diciembre 2026</w:t>
      </w:r>
    </w:p>
    <w:p w:rsidR="00F47252" w:rsidRDefault="00546AF6">
      <w:pPr>
        <w:spacing w:after="80"/>
        <w:ind w:left="454"/>
      </w:pPr>
      <w:r>
        <w:rPr>
          <w:rFonts w:ascii="Calibri" w:hAnsi="Calibri"/>
          <w:color w:val="3C3C3C"/>
          <w:sz w:val="20"/>
        </w:rPr>
        <w:t>La nueva ley no está vigente aún, pero las organizaciones deben prepararse desde ahora para adaptarse a tiempo.</w:t>
      </w:r>
    </w:p>
    <w:p w:rsidR="00F47252" w:rsidRDefault="00F47252"/>
    <w:p w:rsidR="00F47252" w:rsidRDefault="00546AF6">
      <w:pPr>
        <w:jc w:val="center"/>
      </w:pPr>
      <w:r>
        <w:rPr>
          <w:rFonts w:ascii="Calibri" w:hAnsi="Calibri"/>
          <w:color w:val="969696"/>
          <w:sz w:val="18"/>
        </w:rPr>
        <w:t>Curso Probes  |  Ley</w:t>
      </w:r>
      <w:r>
        <w:rPr>
          <w:rFonts w:ascii="Calibri" w:hAnsi="Calibri"/>
          <w:color w:val="969696"/>
          <w:sz w:val="18"/>
        </w:rPr>
        <w:t xml:space="preserve"> 21.719 de Protección de Datos Personales  |  Módulo 1</w:t>
      </w:r>
    </w:p>
    <w:sectPr w:rsidR="00F4725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6A5"/>
    <w:rsid w:val="0015074B"/>
    <w:rsid w:val="00207B0C"/>
    <w:rsid w:val="0029639D"/>
    <w:rsid w:val="00305738"/>
    <w:rsid w:val="00326F90"/>
    <w:rsid w:val="00546AF6"/>
    <w:rsid w:val="009E10F1"/>
    <w:rsid w:val="00AA1D8D"/>
    <w:rsid w:val="00B47730"/>
    <w:rsid w:val="00CB0664"/>
    <w:rsid w:val="00F472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7B04381-2794-49A3-A26B-0D629F73B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13D6A0-B5C7-4CBF-B05B-CE77AAAB8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1570</Words>
  <Characters>8637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Xelo Collipal Rojas</cp:lastModifiedBy>
  <cp:revision>4</cp:revision>
  <dcterms:created xsi:type="dcterms:W3CDTF">2013-12-23T23:15:00Z</dcterms:created>
  <dcterms:modified xsi:type="dcterms:W3CDTF">2026-04-26T16:47:00Z</dcterms:modified>
  <cp:category/>
</cp:coreProperties>
</file>