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Calibri" w:hAnsi="Calibri"/>
          <w:b/>
          <w:i w:val="0"/>
          <w:color w:val="00467F"/>
          <w:sz w:val="36"/>
        </w:rPr>
        <w:t>LEY 21.719 DE PROTECCIÓN DE DATOS PERSONALES</w:t>
      </w:r>
    </w:p>
    <w:p>
      <w:pPr>
        <w:jc w:val="center"/>
      </w:pPr>
      <w:r>
        <w:rPr>
          <w:rFonts w:ascii="Calibri" w:hAnsi="Calibri"/>
          <w:b w:val="0"/>
          <w:i/>
          <w:color w:val="0070C0"/>
          <w:sz w:val="26"/>
        </w:rPr>
        <w:t>Módulo 3 — Parte 2: Portabilidad, Bloqueo, Decisiones Automatizadas y Procedimiento</w:t>
      </w:r>
    </w:p>
    <w:p>
      <w:pPr>
        <w:jc w:val="center"/>
      </w:pPr>
      <w:r>
        <w:rPr>
          <w:rFonts w:ascii="Calibri" w:hAnsi="Calibri"/>
          <w:b w:val="0"/>
          <w:i w:val="0"/>
          <w:color w:val="646464"/>
          <w:sz w:val="20"/>
        </w:rPr>
        <w:t>Instructor: Miguel Ángel Díaz  |  Ley 21.719 vigente desde 1° de diciembre de 2026</w:t>
      </w:r>
    </w:p>
    <w:p/>
    <w:p>
      <w:pPr>
        <w:spacing w:before="80" w:after="80"/>
      </w:pPr>
      <w:r>
        <w:rPr>
          <w:rFonts w:ascii="Calibri" w:hAnsi="Calibri"/>
          <w:b w:val="0"/>
          <w:i w:val="0"/>
          <w:color w:val="BEBEBE"/>
          <w:sz w:val="14"/>
        </w:rPr>
        <w:t>──────────────────────────────────────────────────────────────────────────────────────────</w:t>
      </w:r>
    </w:p>
    <w:p/>
    <w:p>
      <w:pPr>
        <w:spacing w:before="280" w:after="80"/>
      </w:pPr>
      <w:r>
        <w:rPr>
          <w:rFonts w:ascii="Calibri" w:hAnsi="Calibri"/>
          <w:b/>
          <w:i w:val="0"/>
          <w:color w:val="00467F"/>
          <w:sz w:val="28"/>
        </w:rPr>
        <w:t>1. RESUMEN EJECUTIVO</w:t>
      </w:r>
    </w:p>
    <w:p>
      <w:r>
        <w:rPr>
          <w:rFonts w:ascii="Calibri" w:hAnsi="Calibri"/>
          <w:b w:val="0"/>
          <w:i w:val="0"/>
          <w:sz w:val="22"/>
        </w:rPr>
        <w:t>La segunda parte del Módulo 3 completa los derechos ACCOP+ con Portabilidad y Bloqueo, desarrolla el derecho a no ser objeto de decisiones automatizadas, y detalla el procedimiento completo para ejercer cualquier derecho: elementos mínimos de la solicitud, plazos, formato de respuesta y régimen de reclamaciones ante la Agencia de Protección de Datos Personales.</w:t>
        <w:br/>
        <w:br/>
        <w:t>Punto clave: el bloqueo tiene un plazo de respuesta de solo 2 días hábiles — el más corto de todos los derechos. El incumplimiento constituye infracción GRAVE. Las PYMES tienen una extensión de 12 meses adicionales (hasta diciembre de 2027) en el régimen sancionatorio.</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2. DERECHO DE PORTABILIDAD (Art. 9)</w:t>
      </w:r>
    </w:p>
    <w:p>
      <w:r>
        <w:rPr>
          <w:rFonts w:ascii="Calibri" w:hAnsi="Calibri"/>
          <w:b w:val="0"/>
          <w:i/>
          <w:color w:val="3C3C3C"/>
          <w:sz w:val="22"/>
        </w:rPr>
        <w:t>Permite al titular solicitar y obtener una copia de sus datos en formato electrónico estructurado, genérico y de uso común, para trasladarlos a otro responsable.</w:t>
      </w:r>
    </w:p>
    <w:p>
      <w:pPr>
        <w:spacing w:before="160" w:after="40"/>
      </w:pPr>
      <w:r>
        <w:rPr>
          <w:rFonts w:ascii="Calibri" w:hAnsi="Calibri"/>
          <w:b/>
          <w:i w:val="0"/>
          <w:color w:val="0070C0"/>
          <w:sz w:val="22"/>
        </w:rPr>
        <w:t>2.1  Condiciones para que aplique (todas deben cumplirse)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03F7F" w:val="clear"/>
          </w:tcPr>
          <w:p>
            <w:r>
              <w:rPr>
                <w:rFonts w:ascii="Calibri" w:hAnsi="Calibri"/>
                <w:b/>
                <w:i w:val="0"/>
                <w:color w:val="FFFFFF"/>
                <w:sz w:val="20"/>
              </w:rPr>
              <w:t>Condición</w:t>
            </w:r>
          </w:p>
        </w:tc>
        <w:tc>
          <w:tcPr>
            <w:tcW w:type="dxa" w:w="4252"/>
            <w:shd w:fill="003F7F" w:val="clear"/>
          </w:tcPr>
          <w:p>
            <w:r>
              <w:rPr>
                <w:rFonts w:ascii="Calibri" w:hAnsi="Calibri"/>
                <w:b/>
                <w:i w:val="0"/>
                <w:color w:val="FFFFFF"/>
                <w:sz w:val="20"/>
              </w:rPr>
              <w:t>Descripción</w:t>
            </w:r>
          </w:p>
        </w:tc>
        <w:tc>
          <w:tcPr>
            <w:tcW w:type="dxa" w:w="3402"/>
            <w:shd w:fill="003F7F" w:val="clear"/>
          </w:tcPr>
          <w:p>
            <w:r>
              <w:rPr>
                <w:rFonts w:ascii="Calibri" w:hAnsi="Calibri"/>
                <w:b/>
                <w:i w:val="0"/>
                <w:color w:val="FFFFFF"/>
                <w:sz w:val="20"/>
              </w:rPr>
              <w:t>Implicancia</w:t>
            </w:r>
          </w:p>
        </w:tc>
      </w:tr>
      <w:tr>
        <w:tc>
          <w:tcPr>
            <w:tcW w:type="dxa" w:w="2268"/>
          </w:tcPr>
          <w:p>
            <w:r>
              <w:rPr>
                <w:rFonts w:ascii="Calibri" w:hAnsi="Calibri"/>
                <w:b w:val="0"/>
                <w:i w:val="0"/>
                <w:sz w:val="20"/>
              </w:rPr>
              <w:t>Tratamiento automatizado</w:t>
            </w:r>
          </w:p>
        </w:tc>
        <w:tc>
          <w:tcPr>
            <w:tcW w:type="dxa" w:w="4252"/>
          </w:tcPr>
          <w:p>
            <w:r>
              <w:rPr>
                <w:rFonts w:ascii="Calibri" w:hAnsi="Calibri"/>
                <w:b w:val="0"/>
                <w:i w:val="0"/>
                <w:sz w:val="20"/>
              </w:rPr>
              <w:t>El tratamiento de los datos debe realizarse de forma automatizada (electrónica).</w:t>
            </w:r>
          </w:p>
        </w:tc>
        <w:tc>
          <w:tcPr>
            <w:tcW w:type="dxa" w:w="3402"/>
          </w:tcPr>
          <w:p>
            <w:r>
              <w:rPr>
                <w:rFonts w:ascii="Calibri" w:hAnsi="Calibri"/>
                <w:b w:val="0"/>
                <w:i w:val="0"/>
                <w:sz w:val="20"/>
              </w:rPr>
              <w:t>No aplica a tratamientos manuales, como revisión de documentos impresos.</w:t>
            </w:r>
          </w:p>
        </w:tc>
      </w:tr>
      <w:tr>
        <w:tc>
          <w:tcPr>
            <w:tcW w:type="dxa" w:w="2268"/>
            <w:shd w:fill="EBF3FB" w:val="clear"/>
          </w:tcPr>
          <w:p>
            <w:r>
              <w:rPr>
                <w:rFonts w:ascii="Calibri" w:hAnsi="Calibri"/>
                <w:b w:val="0"/>
                <w:i w:val="0"/>
                <w:sz w:val="20"/>
              </w:rPr>
              <w:t>Formato electrónico interoperable</w:t>
            </w:r>
          </w:p>
        </w:tc>
        <w:tc>
          <w:tcPr>
            <w:tcW w:type="dxa" w:w="4252"/>
            <w:shd w:fill="EBF3FB" w:val="clear"/>
          </w:tcPr>
          <w:p>
            <w:r>
              <w:rPr>
                <w:rFonts w:ascii="Calibri" w:hAnsi="Calibri"/>
                <w:b w:val="0"/>
                <w:i w:val="0"/>
                <w:sz w:val="20"/>
              </w:rPr>
              <w:t>Los datos deben estar en formato electrónico estructurado, genérico y de uso común.</w:t>
            </w:r>
          </w:p>
        </w:tc>
        <w:tc>
          <w:tcPr>
            <w:tcW w:type="dxa" w:w="3402"/>
            <w:shd w:fill="EBF3FB" w:val="clear"/>
          </w:tcPr>
          <w:p>
            <w:r>
              <w:rPr>
                <w:rFonts w:ascii="Calibri" w:hAnsi="Calibri"/>
                <w:b w:val="0"/>
                <w:i w:val="0"/>
                <w:sz w:val="20"/>
              </w:rPr>
              <w:t>Formatos típicos: CSV, JSON, XML. La ley no especifica el formato exacto porque evoluciona con la tecnología.</w:t>
            </w:r>
          </w:p>
        </w:tc>
      </w:tr>
      <w:tr>
        <w:tc>
          <w:tcPr>
            <w:tcW w:type="dxa" w:w="2268"/>
          </w:tcPr>
          <w:p>
            <w:r>
              <w:rPr>
                <w:rFonts w:ascii="Calibri" w:hAnsi="Calibri"/>
                <w:b w:val="0"/>
                <w:i w:val="0"/>
                <w:sz w:val="20"/>
              </w:rPr>
              <w:t>Base de licitud = CONSENTIMIENTO</w:t>
            </w:r>
          </w:p>
        </w:tc>
        <w:tc>
          <w:tcPr>
            <w:tcW w:type="dxa" w:w="4252"/>
          </w:tcPr>
          <w:p>
            <w:r>
              <w:rPr>
                <w:rFonts w:ascii="Calibri" w:hAnsi="Calibri"/>
                <w:b w:val="0"/>
                <w:i w:val="0"/>
                <w:sz w:val="20"/>
              </w:rPr>
              <w:t>Solo aplica cuando la base legal del tratamiento es el consentimiento del titular.</w:t>
            </w:r>
          </w:p>
        </w:tc>
        <w:tc>
          <w:tcPr>
            <w:tcW w:type="dxa" w:w="3402"/>
          </w:tcPr>
          <w:p>
            <w:r>
              <w:rPr>
                <w:rFonts w:ascii="Calibri" w:hAnsi="Calibri"/>
                <w:b w:val="0"/>
                <w:i w:val="0"/>
                <w:sz w:val="20"/>
              </w:rPr>
              <w:t>NO aplica si la base es contrato, interés legítimo u otra excepción. Esta es la limitación más importante.</w:t>
            </w:r>
          </w:p>
        </w:tc>
      </w:tr>
    </w:tbl>
    <w:p/>
    <w:p>
      <w:pPr>
        <w:spacing w:before="60" w:after="100"/>
        <w:ind w:left="283"/>
      </w:pPr>
      <w:r>
        <w:rPr>
          <w:rFonts w:ascii="Calibri" w:hAnsi="Calibri"/>
          <w:b w:val="0"/>
          <w:i/>
          <w:color w:val="8C0000"/>
          <w:sz w:val="20"/>
        </w:rPr>
        <w:t>⚠  Si el tratamiento está basado en interés legítimo o contrato, el responsable PUEDE NEGARSE a la portabilidad. La mayoría de los tratamientos empresariales no son por consentimiento, por lo que la portabilidad tendrá aplicación más acotada de lo que parece.</w:t>
      </w:r>
    </w:p>
    <w:p>
      <w:pPr>
        <w:spacing w:before="160" w:after="40"/>
      </w:pPr>
      <w:r>
        <w:rPr>
          <w:rFonts w:ascii="Calibri" w:hAnsi="Calibri"/>
          <w:b/>
          <w:i w:val="0"/>
          <w:color w:val="0070C0"/>
          <w:sz w:val="22"/>
        </w:rPr>
        <w:t>2.2  Obligaciones del responsable</w:t>
      </w:r>
    </w:p>
    <w:p>
      <w:pPr>
        <w:pStyle w:val="ListBullet"/>
        <w:spacing w:after="40"/>
      </w:pPr>
      <w:r>
        <w:rPr>
          <w:rFonts w:ascii="Calibri" w:hAnsi="Calibri"/>
          <w:b/>
          <w:i w:val="0"/>
          <w:color w:val="00467F"/>
          <w:sz w:val="22"/>
        </w:rPr>
        <w:t xml:space="preserve">Formato:  </w:t>
      </w:r>
      <w:r>
        <w:rPr>
          <w:rFonts w:ascii="Calibri" w:hAnsi="Calibri"/>
          <w:b w:val="0"/>
          <w:i w:val="0"/>
          <w:color w:val="282828"/>
          <w:sz w:val="22"/>
        </w:rPr>
        <w:t>Facilitar los datos al titular en formato electrónico estructurado, genérico y de uso común.</w:t>
      </w:r>
    </w:p>
    <w:p>
      <w:pPr>
        <w:pStyle w:val="ListBullet"/>
        <w:spacing w:after="40"/>
      </w:pPr>
      <w:r>
        <w:rPr>
          <w:rFonts w:ascii="Calibri" w:hAnsi="Calibri"/>
          <w:b/>
          <w:i w:val="0"/>
          <w:color w:val="00467F"/>
          <w:sz w:val="22"/>
        </w:rPr>
        <w:t xml:space="preserve">Transferencia directa:  </w:t>
      </w:r>
      <w:r>
        <w:rPr>
          <w:rFonts w:ascii="Calibri" w:hAnsi="Calibri"/>
          <w:b w:val="0"/>
          <w:i w:val="0"/>
          <w:color w:val="282828"/>
          <w:sz w:val="22"/>
        </w:rPr>
        <w:t>Transferir los datos directamente a otro responsable cuando el titular lo solicite y sea técnicamente posible.</w:t>
      </w:r>
    </w:p>
    <w:p>
      <w:pPr>
        <w:pStyle w:val="ListBullet"/>
        <w:spacing w:after="40"/>
      </w:pPr>
      <w:r>
        <w:rPr>
          <w:rFonts w:ascii="Calibri" w:hAnsi="Calibri"/>
          <w:b/>
          <w:i w:val="0"/>
          <w:color w:val="00467F"/>
          <w:sz w:val="22"/>
        </w:rPr>
        <w:t xml:space="preserve">Costo mínimo:  </w:t>
      </w:r>
      <w:r>
        <w:rPr>
          <w:rFonts w:ascii="Calibri" w:hAnsi="Calibri"/>
          <w:b w:val="0"/>
          <w:i w:val="0"/>
          <w:color w:val="282828"/>
          <w:sz w:val="22"/>
        </w:rPr>
        <w:t>Usar los medios más expeditos y menos onerosos.</w:t>
      </w:r>
    </w:p>
    <w:p>
      <w:pPr>
        <w:pStyle w:val="ListBullet"/>
        <w:spacing w:after="40"/>
      </w:pPr>
      <w:r>
        <w:rPr>
          <w:rFonts w:ascii="Calibri" w:hAnsi="Calibri"/>
          <w:b/>
          <w:i w:val="0"/>
          <w:color w:val="00467F"/>
          <w:sz w:val="22"/>
        </w:rPr>
        <w:t xml:space="preserve">Gratuidad:  </w:t>
      </w:r>
      <w:r>
        <w:rPr>
          <w:rFonts w:ascii="Calibri" w:hAnsi="Calibri"/>
          <w:b w:val="0"/>
          <w:i w:val="0"/>
          <w:color w:val="282828"/>
          <w:sz w:val="22"/>
        </w:rPr>
        <w:t>Gratuito hasta 1 vez por trimestre. Si se solicita más veces, puede cobrar costos directos (sin margen ni indirectos).</w:t>
      </w:r>
    </w:p>
    <w:p>
      <w:pPr>
        <w:spacing w:before="60" w:after="100"/>
        <w:ind w:left="283"/>
      </w:pPr>
      <w:r>
        <w:rPr>
          <w:rFonts w:ascii="Calibri" w:hAnsi="Calibri"/>
          <w:b w:val="0"/>
          <w:i/>
          <w:color w:val="8C0000"/>
          <w:sz w:val="20"/>
        </w:rPr>
        <w:t>⚠  Los parámetros para calcular los costos directos serán definidos por la Agencia de Protección de Datos. Mientras no existan, aplicar el costo real directo de la operación y documentarlo.</w:t>
      </w:r>
    </w:p>
    <w:p>
      <w:pPr>
        <w:spacing w:before="160" w:after="40"/>
      </w:pPr>
      <w:r>
        <w:rPr>
          <w:rFonts w:ascii="Calibri" w:hAnsi="Calibri"/>
          <w:b/>
          <w:i w:val="0"/>
          <w:color w:val="0070C0"/>
          <w:sz w:val="22"/>
        </w:rPr>
        <w:t>2.3  Ejemplo práctico</w:t>
      </w:r>
    </w:p>
    <w:p>
      <w:pPr>
        <w:ind w:left="283"/>
      </w:pPr>
      <w:r>
        <w:rPr>
          <w:rFonts w:ascii="Calibri" w:hAnsi="Calibri"/>
          <w:b w:val="0"/>
          <w:i/>
          <w:color w:val="3C3C3C"/>
          <w:sz w:val="20"/>
        </w:rPr>
        <w:t>Un usuario de Spotify solicita portabilidad de su lista de reproducción y preferencias hacia Apple Music. Aunque Spotify no quiera ceder datos a un competidor, está OBLIGADO a hacerlo. Debe entregar los datos en formato interoperable (ej.: JSON o CSV) directamente a la plataforma destino, siempre que sea técnicamente posible.</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3. DERECHO DE BLOQUEO TEMPORAL (Art. 8T)</w:t>
      </w:r>
    </w:p>
    <w:p>
      <w:r>
        <w:rPr>
          <w:rFonts w:ascii="Calibri" w:hAnsi="Calibri"/>
          <w:b w:val="0"/>
          <w:i/>
          <w:color w:val="3C3C3C"/>
          <w:sz w:val="22"/>
        </w:rPr>
        <w:t>Permite al titular solicitar la suspensión temporal de cualquier operación de tratamiento de sus datos mientras se resuelve una controversia o reclamación.</w:t>
      </w:r>
    </w:p>
    <w:p>
      <w:pPr>
        <w:spacing w:before="160" w:after="40"/>
      </w:pPr>
      <w:r>
        <w:rPr>
          <w:rFonts w:ascii="Calibri" w:hAnsi="Calibri"/>
          <w:b/>
          <w:i w:val="0"/>
          <w:color w:val="0070C0"/>
          <w:sz w:val="22"/>
        </w:rPr>
        <w:t>3.1  ¿Cuándo se puede ejercer?</w:t>
      </w:r>
    </w:p>
    <w:tbl>
      <w:tblPr>
        <w:tblStyle w:val="TableGrid"/>
        <w:tblW w:type="auto" w:w="0"/>
        <w:jc w:val="center"/>
        <w:tblLook w:firstColumn="1" w:firstRow="1" w:lastColumn="0" w:lastRow="0" w:noHBand="0" w:noVBand="1" w:val="04A0"/>
      </w:tblPr>
      <w:tblGrid>
        <w:gridCol w:w="4703"/>
        <w:gridCol w:w="4703"/>
      </w:tblGrid>
      <w:tr>
        <w:tc>
          <w:tcPr>
            <w:tcW w:type="dxa" w:w="3402"/>
            <w:shd w:fill="003F7F" w:val="clear"/>
          </w:tcPr>
          <w:p>
            <w:r>
              <w:rPr>
                <w:rFonts w:ascii="Calibri" w:hAnsi="Calibri"/>
                <w:b/>
                <w:i w:val="0"/>
                <w:color w:val="FFFFFF"/>
                <w:sz w:val="20"/>
              </w:rPr>
              <w:t>Causal</w:t>
            </w:r>
          </w:p>
        </w:tc>
        <w:tc>
          <w:tcPr>
            <w:tcW w:type="dxa" w:w="6520"/>
            <w:shd w:fill="003F7F" w:val="clear"/>
          </w:tcPr>
          <w:p>
            <w:r>
              <w:rPr>
                <w:rFonts w:ascii="Calibri" w:hAnsi="Calibri"/>
                <w:b/>
                <w:i w:val="0"/>
                <w:color w:val="FFFFFF"/>
                <w:sz w:val="20"/>
              </w:rPr>
              <w:t>Descripción</w:t>
            </w:r>
          </w:p>
        </w:tc>
      </w:tr>
      <w:tr>
        <w:tc>
          <w:tcPr>
            <w:tcW w:type="dxa" w:w="3402"/>
          </w:tcPr>
          <w:p>
            <w:r>
              <w:rPr>
                <w:rFonts w:ascii="Calibri" w:hAnsi="Calibri"/>
                <w:b w:val="0"/>
                <w:i w:val="0"/>
                <w:sz w:val="20"/>
              </w:rPr>
              <w:t>Solicitud de rectificación pendiente</w:t>
            </w:r>
          </w:p>
        </w:tc>
        <w:tc>
          <w:tcPr>
            <w:tcW w:type="dxa" w:w="6520"/>
          </w:tcPr>
          <w:p>
            <w:r>
              <w:rPr>
                <w:rFonts w:ascii="Calibri" w:hAnsi="Calibri"/>
                <w:b w:val="0"/>
                <w:i w:val="0"/>
                <w:sz w:val="20"/>
              </w:rPr>
              <w:t>El titular solicitó rectificar sus datos y el responsable aún no resuelve.</w:t>
            </w:r>
          </w:p>
        </w:tc>
      </w:tr>
      <w:tr>
        <w:tc>
          <w:tcPr>
            <w:tcW w:type="dxa" w:w="3402"/>
            <w:shd w:fill="EBF3FB" w:val="clear"/>
          </w:tcPr>
          <w:p>
            <w:r>
              <w:rPr>
                <w:rFonts w:ascii="Calibri" w:hAnsi="Calibri"/>
                <w:b w:val="0"/>
                <w:i w:val="0"/>
                <w:sz w:val="20"/>
              </w:rPr>
              <w:t>Solicitud de supresión en disputa</w:t>
            </w:r>
          </w:p>
        </w:tc>
        <w:tc>
          <w:tcPr>
            <w:tcW w:type="dxa" w:w="6520"/>
            <w:shd w:fill="EBF3FB" w:val="clear"/>
          </w:tcPr>
          <w:p>
            <w:r>
              <w:rPr>
                <w:rFonts w:ascii="Calibri" w:hAnsi="Calibri"/>
                <w:b w:val="0"/>
                <w:i w:val="0"/>
                <w:sz w:val="20"/>
              </w:rPr>
              <w:t>El responsable alega una excepción (ej.: libertad de expresión) y la supresión está en debate.</w:t>
            </w:r>
          </w:p>
        </w:tc>
      </w:tr>
      <w:tr>
        <w:tc>
          <w:tcPr>
            <w:tcW w:type="dxa" w:w="3402"/>
          </w:tcPr>
          <w:p>
            <w:r>
              <w:rPr>
                <w:rFonts w:ascii="Calibri" w:hAnsi="Calibri"/>
                <w:b w:val="0"/>
                <w:i w:val="0"/>
                <w:sz w:val="20"/>
              </w:rPr>
              <w:t>Solicitud de oposición en curso</w:t>
            </w:r>
          </w:p>
        </w:tc>
        <w:tc>
          <w:tcPr>
            <w:tcW w:type="dxa" w:w="6520"/>
          </w:tcPr>
          <w:p>
            <w:r>
              <w:rPr>
                <w:rFonts w:ascii="Calibri" w:hAnsi="Calibri"/>
                <w:b w:val="0"/>
                <w:i w:val="0"/>
                <w:sz w:val="20"/>
              </w:rPr>
              <w:t>El titular se opuso al tratamiento y la disputa no está resuelta.</w:t>
            </w:r>
          </w:p>
        </w:tc>
      </w:tr>
    </w:tbl>
    <w:p/>
    <w:p>
      <w:pPr>
        <w:spacing w:before="160" w:after="40"/>
      </w:pPr>
      <w:r>
        <w:rPr>
          <w:rFonts w:ascii="Calibri" w:hAnsi="Calibri"/>
          <w:b/>
          <w:i w:val="0"/>
          <w:color w:val="0070C0"/>
          <w:sz w:val="22"/>
        </w:rPr>
        <w:t>3.2  Características clave</w:t>
      </w:r>
    </w:p>
    <w:p>
      <w:pPr>
        <w:pStyle w:val="ListBullet"/>
        <w:spacing w:after="40"/>
      </w:pPr>
      <w:r>
        <w:rPr>
          <w:rFonts w:ascii="Calibri" w:hAnsi="Calibri"/>
          <w:b/>
          <w:i w:val="0"/>
          <w:color w:val="00467F"/>
          <w:sz w:val="22"/>
        </w:rPr>
        <w:t xml:space="preserve">Qué NO hace:  </w:t>
      </w:r>
      <w:r>
        <w:rPr>
          <w:rFonts w:ascii="Calibri" w:hAnsi="Calibri"/>
          <w:b w:val="0"/>
          <w:i w:val="0"/>
          <w:color w:val="282828"/>
          <w:sz w:val="22"/>
        </w:rPr>
        <w:t>NO afecta el almacenamiento de los datos — los datos siguen guardados.</w:t>
      </w:r>
    </w:p>
    <w:p>
      <w:pPr>
        <w:pStyle w:val="ListBullet"/>
        <w:spacing w:after="40"/>
      </w:pPr>
      <w:r>
        <w:rPr>
          <w:rFonts w:ascii="Calibri" w:hAnsi="Calibri"/>
          <w:b/>
          <w:i w:val="0"/>
          <w:color w:val="00467F"/>
          <w:sz w:val="22"/>
        </w:rPr>
        <w:t xml:space="preserve">Qué SÍ hace:  </w:t>
      </w:r>
      <w:r>
        <w:rPr>
          <w:rFonts w:ascii="Calibri" w:hAnsi="Calibri"/>
          <w:b w:val="0"/>
          <w:i w:val="0"/>
          <w:color w:val="282828"/>
          <w:sz w:val="22"/>
        </w:rPr>
        <w:t>Suspende todas las operaciones de tratamiento: comunicación, análisis, cesión, perfilamiento, etc.</w:t>
      </w:r>
    </w:p>
    <w:p>
      <w:pPr>
        <w:pStyle w:val="ListBullet"/>
        <w:spacing w:after="40"/>
      </w:pPr>
      <w:r>
        <w:rPr>
          <w:rFonts w:ascii="Calibri" w:hAnsi="Calibri"/>
          <w:b/>
          <w:i w:val="0"/>
          <w:color w:val="00467F"/>
          <w:sz w:val="22"/>
        </w:rPr>
        <w:t xml:space="preserve">Forma:  </w:t>
      </w:r>
      <w:r>
        <w:rPr>
          <w:rFonts w:ascii="Calibri" w:hAnsi="Calibri"/>
          <w:b w:val="0"/>
          <w:i w:val="0"/>
          <w:color w:val="282828"/>
          <w:sz w:val="22"/>
        </w:rPr>
        <w:t>La solicitud debe ser escrita o electrónica (NO se acepta verbal).</w:t>
      </w:r>
    </w:p>
    <w:p>
      <w:pPr>
        <w:pStyle w:val="ListBullet"/>
        <w:spacing w:after="40"/>
      </w:pPr>
      <w:r>
        <w:rPr>
          <w:rFonts w:ascii="Calibri" w:hAnsi="Calibri"/>
          <w:b/>
          <w:i w:val="0"/>
          <w:color w:val="00467F"/>
          <w:sz w:val="22"/>
        </w:rPr>
        <w:t xml:space="preserve">Especificidad:  </w:t>
      </w:r>
      <w:r>
        <w:rPr>
          <w:rFonts w:ascii="Calibri" w:hAnsi="Calibri"/>
          <w:b w:val="0"/>
          <w:i w:val="0"/>
          <w:color w:val="282828"/>
          <w:sz w:val="22"/>
        </w:rPr>
        <w:t>Debe especificar los datos y tratamientos concretos sobre los que se ejerce.</w:t>
      </w:r>
    </w:p>
    <w:p>
      <w:pPr>
        <w:spacing w:before="60" w:after="100"/>
        <w:ind w:left="283"/>
      </w:pPr>
      <w:r>
        <w:rPr>
          <w:rFonts w:ascii="Calibri" w:hAnsi="Calibri"/>
          <w:b w:val="0"/>
          <w:i/>
          <w:color w:val="8C0000"/>
          <w:sz w:val="20"/>
        </w:rPr>
        <w:t>⚠  ERROR frecuente: confundir bloqueo con supresión. Bloqueo = congelar el uso. Supresión = eliminar. Eliminar datos bajo una solicitud de bloqueo puede generar una infracción GRAVE.</w:t>
      </w:r>
    </w:p>
    <w:p>
      <w:pPr>
        <w:spacing w:before="160" w:after="40"/>
      </w:pPr>
      <w:r>
        <w:rPr>
          <w:rFonts w:ascii="Calibri" w:hAnsi="Calibri"/>
          <w:b/>
          <w:i w:val="0"/>
          <w:color w:val="0070C0"/>
          <w:sz w:val="22"/>
        </w:rPr>
        <w:t>3.3  Plazo de respuesta — EL MÁS CORTO DE TODOS</w:t>
      </w:r>
    </w:p>
    <w:tbl>
      <w:tblPr>
        <w:tblStyle w:val="TableGrid"/>
        <w:tblW w:type="auto" w:w="0"/>
        <w:jc w:val="center"/>
        <w:tblLook w:firstColumn="1" w:firstRow="1" w:lastColumn="0" w:lastRow="0" w:noHBand="0" w:noVBand="1" w:val="04A0"/>
      </w:tblPr>
      <w:tblGrid>
        <w:gridCol w:w="4703"/>
        <w:gridCol w:w="4703"/>
      </w:tblGrid>
      <w:tr>
        <w:tc>
          <w:tcPr>
            <w:tcW w:type="dxa" w:w="5102"/>
            <w:shd w:fill="003F7F" w:val="clear"/>
          </w:tcPr>
          <w:p>
            <w:r>
              <w:rPr>
                <w:rFonts w:ascii="Calibri" w:hAnsi="Calibri"/>
                <w:b/>
                <w:i w:val="0"/>
                <w:color w:val="FFFFFF"/>
                <w:sz w:val="20"/>
              </w:rPr>
              <w:t>Derecho</w:t>
            </w:r>
          </w:p>
        </w:tc>
        <w:tc>
          <w:tcPr>
            <w:tcW w:type="dxa" w:w="4819"/>
            <w:shd w:fill="003F7F" w:val="clear"/>
          </w:tcPr>
          <w:p>
            <w:r>
              <w:rPr>
                <w:rFonts w:ascii="Calibri" w:hAnsi="Calibri"/>
                <w:b/>
                <w:i w:val="0"/>
                <w:color w:val="FFFFFF"/>
                <w:sz w:val="20"/>
              </w:rPr>
              <w:t>Plazo de respuesta</w:t>
            </w:r>
          </w:p>
        </w:tc>
      </w:tr>
      <w:tr>
        <w:tc>
          <w:tcPr>
            <w:tcW w:type="dxa" w:w="5102"/>
          </w:tcPr>
          <w:p>
            <w:r>
              <w:rPr>
                <w:rFonts w:ascii="Calibri" w:hAnsi="Calibri"/>
                <w:b w:val="0"/>
                <w:i w:val="0"/>
                <w:sz w:val="20"/>
              </w:rPr>
              <w:t>Acceso, Rectificación, Supresión, Oposición, Portabilidad</w:t>
            </w:r>
          </w:p>
        </w:tc>
        <w:tc>
          <w:tcPr>
            <w:tcW w:type="dxa" w:w="4819"/>
          </w:tcPr>
          <w:p>
            <w:r>
              <w:rPr>
                <w:rFonts w:ascii="Calibri" w:hAnsi="Calibri"/>
                <w:b w:val="0"/>
                <w:i w:val="0"/>
                <w:sz w:val="20"/>
              </w:rPr>
              <w:t>30 días corridos (+ 30 días prórroga con justificación)</w:t>
            </w:r>
          </w:p>
        </w:tc>
      </w:tr>
      <w:tr>
        <w:tc>
          <w:tcPr>
            <w:tcW w:type="dxa" w:w="5102"/>
            <w:shd w:fill="EBF3FB" w:val="clear"/>
          </w:tcPr>
          <w:p>
            <w:r>
              <w:rPr>
                <w:rFonts w:ascii="Calibri" w:hAnsi="Calibri"/>
                <w:b w:val="0"/>
                <w:i w:val="0"/>
                <w:sz w:val="20"/>
              </w:rPr>
              <w:t>BLOQUEO TEMPORAL</w:t>
            </w:r>
          </w:p>
        </w:tc>
        <w:tc>
          <w:tcPr>
            <w:tcW w:type="dxa" w:w="4819"/>
            <w:shd w:fill="EBF3FB" w:val="clear"/>
          </w:tcPr>
          <w:p>
            <w:r>
              <w:rPr>
                <w:rFonts w:ascii="Calibri" w:hAnsi="Calibri"/>
                <w:b w:val="0"/>
                <w:i w:val="0"/>
                <w:sz w:val="20"/>
              </w:rPr>
              <w:t>2 días HÁBILES  ←  URGENTE</w:t>
            </w:r>
          </w:p>
        </w:tc>
      </w:tr>
    </w:tbl>
    <w:p/>
    <w:p>
      <w:pPr>
        <w:spacing w:before="60" w:after="100"/>
        <w:ind w:left="283"/>
      </w:pPr>
      <w:r>
        <w:rPr>
          <w:rFonts w:ascii="Calibri" w:hAnsi="Calibri"/>
          <w:b w:val="0"/>
          <w:i/>
          <w:color w:val="8C0000"/>
          <w:sz w:val="20"/>
        </w:rPr>
        <w:t>⚠  2 días hábiles es un plazo extremadamente corto. Los procedimientos internos para atender solicitudes de bloqueo deben estar automatizados y ser ágiles. La no respuesta en plazo constituye INFRACCIÓN GRAVE.</w:t>
      </w:r>
    </w:p>
    <w:p>
      <w:pPr>
        <w:spacing w:before="160" w:after="40"/>
      </w:pPr>
      <w:r>
        <w:rPr>
          <w:rFonts w:ascii="Calibri" w:hAnsi="Calibri"/>
          <w:b/>
          <w:i w:val="0"/>
          <w:color w:val="0070C0"/>
          <w:sz w:val="22"/>
        </w:rPr>
        <w:t>3.4  Requisitos mínimos de la solicitud de bloqueo</w:t>
      </w:r>
    </w:p>
    <w:p>
      <w:pPr>
        <w:pStyle w:val="ListBullet"/>
        <w:spacing w:after="40"/>
      </w:pPr>
      <w:r>
        <w:rPr>
          <w:rFonts w:ascii="Calibri" w:hAnsi="Calibri"/>
          <w:b/>
          <w:i w:val="0"/>
          <w:color w:val="00467F"/>
          <w:sz w:val="22"/>
        </w:rPr>
        <w:t xml:space="preserve">①  </w:t>
      </w:r>
      <w:r>
        <w:rPr>
          <w:rFonts w:ascii="Calibri" w:hAnsi="Calibri"/>
          <w:b w:val="0"/>
          <w:i w:val="0"/>
          <w:color w:val="282828"/>
          <w:sz w:val="22"/>
        </w:rPr>
        <w:t>Identificación del titular y autenticación de identidad.</w:t>
      </w:r>
    </w:p>
    <w:p>
      <w:pPr>
        <w:pStyle w:val="ListBullet"/>
        <w:spacing w:after="40"/>
      </w:pPr>
      <w:r>
        <w:rPr>
          <w:rFonts w:ascii="Calibri" w:hAnsi="Calibri"/>
          <w:b/>
          <w:i w:val="0"/>
          <w:color w:val="00467F"/>
          <w:sz w:val="22"/>
        </w:rPr>
        <w:t xml:space="preserve">②  </w:t>
      </w:r>
      <w:r>
        <w:rPr>
          <w:rFonts w:ascii="Calibri" w:hAnsi="Calibri"/>
          <w:b w:val="0"/>
          <w:i w:val="0"/>
          <w:color w:val="282828"/>
          <w:sz w:val="22"/>
        </w:rPr>
        <w:t>Medio de contacto para recibir la respuesta.</w:t>
      </w:r>
    </w:p>
    <w:p>
      <w:pPr>
        <w:pStyle w:val="ListBullet"/>
        <w:spacing w:after="40"/>
      </w:pPr>
      <w:r>
        <w:rPr>
          <w:rFonts w:ascii="Calibri" w:hAnsi="Calibri"/>
          <w:b/>
          <w:i w:val="0"/>
          <w:color w:val="00467F"/>
          <w:sz w:val="22"/>
        </w:rPr>
        <w:t xml:space="preserve">③  </w:t>
      </w:r>
      <w:r>
        <w:rPr>
          <w:rFonts w:ascii="Calibri" w:hAnsi="Calibri"/>
          <w:b w:val="0"/>
          <w:i w:val="0"/>
          <w:color w:val="282828"/>
          <w:sz w:val="22"/>
        </w:rPr>
        <w:t>Especificación de los datos y tratamientos afectados.</w:t>
      </w:r>
    </w:p>
    <w:p>
      <w:pPr>
        <w:pStyle w:val="ListBullet"/>
        <w:spacing w:after="40"/>
      </w:pPr>
      <w:r>
        <w:rPr>
          <w:rFonts w:ascii="Calibri" w:hAnsi="Calibri"/>
          <w:b/>
          <w:i w:val="0"/>
          <w:color w:val="00467F"/>
          <w:sz w:val="22"/>
        </w:rPr>
        <w:t xml:space="preserve">④  </w:t>
      </w:r>
      <w:r>
        <w:rPr>
          <w:rFonts w:ascii="Calibri" w:hAnsi="Calibri"/>
          <w:b w:val="0"/>
          <w:i w:val="0"/>
          <w:color w:val="282828"/>
          <w:sz w:val="22"/>
        </w:rPr>
        <w:t>Referencia a la solicitud pendiente que motiva el bloqueo (rectificación, supresión u oposición).</w:t>
      </w:r>
    </w:p>
    <w:p>
      <w:pPr>
        <w:spacing w:before="160" w:after="40"/>
      </w:pPr>
      <w:r>
        <w:rPr>
          <w:rFonts w:ascii="Calibri" w:hAnsi="Calibri"/>
          <w:b/>
          <w:i w:val="0"/>
          <w:color w:val="0070C0"/>
          <w:sz w:val="22"/>
        </w:rPr>
        <w:t>3.5  Consecuencias del incumplimiento</w:t>
      </w:r>
    </w:p>
    <w:p>
      <w:pPr>
        <w:pStyle w:val="ListBullet"/>
        <w:spacing w:after="40"/>
      </w:pPr>
      <w:r>
        <w:rPr>
          <w:rFonts w:ascii="Calibri" w:hAnsi="Calibri"/>
          <w:b/>
          <w:i w:val="0"/>
          <w:color w:val="00467F"/>
          <w:sz w:val="22"/>
        </w:rPr>
        <w:t xml:space="preserve">No respuesta en plazo:  </w:t>
      </w:r>
      <w:r>
        <w:rPr>
          <w:rFonts w:ascii="Calibri" w:hAnsi="Calibri"/>
          <w:b w:val="0"/>
          <w:i w:val="0"/>
          <w:color w:val="282828"/>
          <w:sz w:val="22"/>
        </w:rPr>
        <w:t>Infracción GRAVE (no leve) → multa significativa.</w:t>
      </w:r>
    </w:p>
    <w:p>
      <w:pPr>
        <w:pStyle w:val="ListBullet"/>
        <w:spacing w:after="40"/>
      </w:pPr>
      <w:r>
        <w:rPr>
          <w:rFonts w:ascii="Calibri" w:hAnsi="Calibri"/>
          <w:b/>
          <w:i w:val="0"/>
          <w:color w:val="00467F"/>
          <w:sz w:val="22"/>
        </w:rPr>
        <w:t xml:space="preserve">Recurso del titular:  </w:t>
      </w:r>
      <w:r>
        <w:rPr>
          <w:rFonts w:ascii="Calibri" w:hAnsi="Calibri"/>
          <w:b w:val="0"/>
          <w:i w:val="0"/>
          <w:color w:val="282828"/>
          <w:sz w:val="22"/>
        </w:rPr>
        <w:t>El titular puede reclamar directamente ante la Agencia de Protección de Datos.</w:t>
      </w:r>
    </w:p>
    <w:p>
      <w:pPr>
        <w:pStyle w:val="ListBullet"/>
        <w:spacing w:after="40"/>
      </w:pPr>
      <w:r>
        <w:rPr>
          <w:rFonts w:ascii="Calibri" w:hAnsi="Calibri"/>
          <w:b/>
          <w:i w:val="0"/>
          <w:color w:val="00467F"/>
          <w:sz w:val="22"/>
        </w:rPr>
        <w:t xml:space="preserve">Si se rechaza:  </w:t>
      </w:r>
      <w:r>
        <w:rPr>
          <w:rFonts w:ascii="Calibri" w:hAnsi="Calibri"/>
          <w:b w:val="0"/>
          <w:i w:val="0"/>
          <w:color w:val="282828"/>
          <w:sz w:val="22"/>
        </w:rPr>
        <w:t>La decisión de rechazo debe estar justificada por escrito e informar el derecho a reclamar.</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4. DECISIONES AUTOMATIZADAS Y ELABORACIÓN DE PERFILES (Art. 8)</w:t>
      </w:r>
    </w:p>
    <w:p>
      <w:r>
        <w:rPr>
          <w:rFonts w:ascii="Calibri" w:hAnsi="Calibri"/>
          <w:b w:val="0"/>
          <w:i/>
          <w:color w:val="3C3C3C"/>
          <w:sz w:val="22"/>
        </w:rPr>
        <w:t>Derecho del titular a oponerse a ser objeto de decisiones basadas únicamente en tratamiento automatizado de sus datos — incluido el perfilamiento — que produzcan efectos jurídicos o le afecten significativamente.</w:t>
      </w:r>
    </w:p>
    <w:p>
      <w:pPr>
        <w:spacing w:before="160" w:after="40"/>
      </w:pPr>
      <w:r>
        <w:rPr>
          <w:rFonts w:ascii="Calibri" w:hAnsi="Calibri"/>
          <w:b/>
          <w:i w:val="0"/>
          <w:color w:val="0070C0"/>
          <w:sz w:val="22"/>
        </w:rPr>
        <w:t>4.1  ¿Qué es la elaboración de perfiles?</w:t>
      </w:r>
    </w:p>
    <w:p>
      <w:pPr>
        <w:ind w:left="283"/>
      </w:pPr>
      <w:r>
        <w:rPr>
          <w:rFonts w:ascii="Calibri" w:hAnsi="Calibri"/>
          <w:b w:val="0"/>
          <w:i w:val="0"/>
          <w:sz w:val="22"/>
        </w:rPr>
        <w:t>Cualquier forma de tratamiento automatizado de datos personales para evaluar, analizar o predecir aspectos de una persona natural, tales como: rendimiento profesional, situación económica, salud, preferencias, intereses, fidelidad, comportamiento o ubicación.</w:t>
      </w:r>
    </w:p>
    <w:p>
      <w:pPr>
        <w:spacing w:before="160" w:after="40"/>
      </w:pPr>
      <w:r>
        <w:rPr>
          <w:rFonts w:ascii="Calibri" w:hAnsi="Calibri"/>
          <w:b/>
          <w:i w:val="0"/>
          <w:color w:val="0070C0"/>
          <w:sz w:val="22"/>
        </w:rPr>
        <w:t>4.2  Excepciones: cuándo NO aplica el derecho de oposición</w:t>
      </w:r>
    </w:p>
    <w:tbl>
      <w:tblPr>
        <w:tblStyle w:val="TableGrid"/>
        <w:tblW w:type="auto" w:w="0"/>
        <w:jc w:val="center"/>
        <w:tblLook w:firstColumn="1" w:firstRow="1" w:lastColumn="0" w:lastRow="0" w:noHBand="0" w:noVBand="1" w:val="04A0"/>
      </w:tblPr>
      <w:tblGrid>
        <w:gridCol w:w="4703"/>
        <w:gridCol w:w="4703"/>
      </w:tblGrid>
      <w:tr>
        <w:tc>
          <w:tcPr>
            <w:tcW w:type="dxa" w:w="2835"/>
            <w:shd w:fill="003F7F" w:val="clear"/>
          </w:tcPr>
          <w:p>
            <w:r>
              <w:rPr>
                <w:rFonts w:ascii="Calibri" w:hAnsi="Calibri"/>
                <w:b/>
                <w:i w:val="0"/>
                <w:color w:val="FFFFFF"/>
                <w:sz w:val="20"/>
              </w:rPr>
              <w:t>Excepción</w:t>
            </w:r>
          </w:p>
        </w:tc>
        <w:tc>
          <w:tcPr>
            <w:tcW w:type="dxa" w:w="7087"/>
            <w:shd w:fill="003F7F" w:val="clear"/>
          </w:tcPr>
          <w:p>
            <w:r>
              <w:rPr>
                <w:rFonts w:ascii="Calibri" w:hAnsi="Calibri"/>
                <w:b/>
                <w:i w:val="0"/>
                <w:color w:val="FFFFFF"/>
                <w:sz w:val="20"/>
              </w:rPr>
              <w:t>Descripción</w:t>
            </w:r>
          </w:p>
        </w:tc>
      </w:tr>
      <w:tr>
        <w:tc>
          <w:tcPr>
            <w:tcW w:type="dxa" w:w="2835"/>
          </w:tcPr>
          <w:p>
            <w:r>
              <w:rPr>
                <w:rFonts w:ascii="Calibri" w:hAnsi="Calibri"/>
                <w:b w:val="0"/>
                <w:i w:val="0"/>
                <w:sz w:val="20"/>
              </w:rPr>
              <w:t>Ejecución de contrato</w:t>
            </w:r>
          </w:p>
        </w:tc>
        <w:tc>
          <w:tcPr>
            <w:tcW w:type="dxa" w:w="7087"/>
          </w:tcPr>
          <w:p>
            <w:r>
              <w:rPr>
                <w:rFonts w:ascii="Calibri" w:hAnsi="Calibri"/>
                <w:b w:val="0"/>
                <w:i w:val="0"/>
                <w:sz w:val="20"/>
              </w:rPr>
              <w:t>La decisión automatizada es necesaria para celebrar o ejecutar un contrato entre el titular y el responsable.</w:t>
            </w:r>
          </w:p>
        </w:tc>
      </w:tr>
      <w:tr>
        <w:tc>
          <w:tcPr>
            <w:tcW w:type="dxa" w:w="2835"/>
            <w:shd w:fill="EBF3FB" w:val="clear"/>
          </w:tcPr>
          <w:p>
            <w:r>
              <w:rPr>
                <w:rFonts w:ascii="Calibri" w:hAnsi="Calibri"/>
                <w:b w:val="0"/>
                <w:i w:val="0"/>
                <w:sz w:val="20"/>
              </w:rPr>
              <w:t>Consentimiento expreso</w:t>
            </w:r>
          </w:p>
        </w:tc>
        <w:tc>
          <w:tcPr>
            <w:tcW w:type="dxa" w:w="7087"/>
            <w:shd w:fill="EBF3FB" w:val="clear"/>
          </w:tcPr>
          <w:p>
            <w:r>
              <w:rPr>
                <w:rFonts w:ascii="Calibri" w:hAnsi="Calibri"/>
                <w:b w:val="0"/>
                <w:i w:val="0"/>
                <w:sz w:val="20"/>
              </w:rPr>
              <w:t>El titular otorgó consentimiento explícito para que sus datos sean usados en decisiones automatizadas.</w:t>
            </w:r>
          </w:p>
        </w:tc>
      </w:tr>
    </w:tbl>
    <w:p/>
    <w:p>
      <w:pPr>
        <w:spacing w:before="160" w:after="40"/>
      </w:pPr>
      <w:r>
        <w:rPr>
          <w:rFonts w:ascii="Calibri" w:hAnsi="Calibri"/>
          <w:b/>
          <w:i w:val="0"/>
          <w:color w:val="0070C0"/>
          <w:sz w:val="22"/>
        </w:rPr>
        <w:t>4.3  Salvaguardas obligatorias en todos los casos</w:t>
      </w:r>
    </w:p>
    <w:tbl>
      <w:tblPr>
        <w:tblStyle w:val="TableGrid"/>
        <w:tblW w:type="auto" w:w="0"/>
        <w:jc w:val="center"/>
        <w:tblLook w:firstColumn="1" w:firstRow="1" w:lastColumn="0" w:lastRow="0" w:noHBand="0" w:noVBand="1" w:val="04A0"/>
      </w:tblPr>
      <w:tblGrid>
        <w:gridCol w:w="4703"/>
        <w:gridCol w:w="4703"/>
      </w:tblGrid>
      <w:tr>
        <w:tc>
          <w:tcPr>
            <w:tcW w:type="dxa" w:w="2835"/>
            <w:shd w:fill="003F7F" w:val="clear"/>
          </w:tcPr>
          <w:p>
            <w:r>
              <w:rPr>
                <w:rFonts w:ascii="Calibri" w:hAnsi="Calibri"/>
                <w:b/>
                <w:i w:val="0"/>
                <w:color w:val="FFFFFF"/>
                <w:sz w:val="20"/>
              </w:rPr>
              <w:t>Salvaguarda</w:t>
            </w:r>
          </w:p>
        </w:tc>
        <w:tc>
          <w:tcPr>
            <w:tcW w:type="dxa" w:w="7087"/>
            <w:shd w:fill="003F7F" w:val="clear"/>
          </w:tcPr>
          <w:p>
            <w:r>
              <w:rPr>
                <w:rFonts w:ascii="Calibri" w:hAnsi="Calibri"/>
                <w:b/>
                <w:i w:val="0"/>
                <w:color w:val="FFFFFF"/>
                <w:sz w:val="20"/>
              </w:rPr>
              <w:t>Descripción</w:t>
            </w:r>
          </w:p>
        </w:tc>
      </w:tr>
      <w:tr>
        <w:tc>
          <w:tcPr>
            <w:tcW w:type="dxa" w:w="2835"/>
          </w:tcPr>
          <w:p>
            <w:r>
              <w:rPr>
                <w:rFonts w:ascii="Calibri" w:hAnsi="Calibri"/>
                <w:b w:val="0"/>
                <w:i w:val="0"/>
                <w:sz w:val="20"/>
              </w:rPr>
              <w:t>Información y transparencia</w:t>
            </w:r>
          </w:p>
        </w:tc>
        <w:tc>
          <w:tcPr>
            <w:tcW w:type="dxa" w:w="7087"/>
          </w:tcPr>
          <w:p>
            <w:r>
              <w:rPr>
                <w:rFonts w:ascii="Calibri" w:hAnsi="Calibri"/>
                <w:b w:val="0"/>
                <w:i w:val="0"/>
                <w:sz w:val="20"/>
              </w:rPr>
              <w:t>El responsable debe informar sobre la existencia de decisiones automatizadas y perfilamientos.</w:t>
            </w:r>
          </w:p>
        </w:tc>
      </w:tr>
      <w:tr>
        <w:tc>
          <w:tcPr>
            <w:tcW w:type="dxa" w:w="2835"/>
            <w:shd w:fill="EBF3FB" w:val="clear"/>
          </w:tcPr>
          <w:p>
            <w:r>
              <w:rPr>
                <w:rFonts w:ascii="Calibri" w:hAnsi="Calibri"/>
                <w:b w:val="0"/>
                <w:i w:val="0"/>
                <w:sz w:val="20"/>
              </w:rPr>
              <w:t>Explicación de la lógica</w:t>
            </w:r>
          </w:p>
        </w:tc>
        <w:tc>
          <w:tcPr>
            <w:tcW w:type="dxa" w:w="7087"/>
            <w:shd w:fill="EBF3FB" w:val="clear"/>
          </w:tcPr>
          <w:p>
            <w:r>
              <w:rPr>
                <w:rFonts w:ascii="Calibri" w:hAnsi="Calibri"/>
                <w:b w:val="0"/>
                <w:i w:val="0"/>
                <w:sz w:val="20"/>
              </w:rPr>
              <w:t>El titular tiene derecho a conocer la lógica aplicada por el algoritmo, aunque habitualmente no es pública.</w:t>
            </w:r>
          </w:p>
        </w:tc>
      </w:tr>
      <w:tr>
        <w:tc>
          <w:tcPr>
            <w:tcW w:type="dxa" w:w="2835"/>
          </w:tcPr>
          <w:p>
            <w:r>
              <w:rPr>
                <w:rFonts w:ascii="Calibri" w:hAnsi="Calibri"/>
                <w:b w:val="0"/>
                <w:i w:val="0"/>
                <w:sz w:val="20"/>
              </w:rPr>
              <w:t>Intervención humana</w:t>
            </w:r>
          </w:p>
        </w:tc>
        <w:tc>
          <w:tcPr>
            <w:tcW w:type="dxa" w:w="7087"/>
          </w:tcPr>
          <w:p>
            <w:r>
              <w:rPr>
                <w:rFonts w:ascii="Calibri" w:hAnsi="Calibri"/>
                <w:b w:val="0"/>
                <w:i w:val="0"/>
                <w:sz w:val="20"/>
              </w:rPr>
              <w:t>El titular puede exigir que un ser humano revise la decisión automatizada que le afecta.</w:t>
            </w:r>
          </w:p>
        </w:tc>
      </w:tr>
      <w:tr>
        <w:tc>
          <w:tcPr>
            <w:tcW w:type="dxa" w:w="2835"/>
            <w:shd w:fill="EBF3FB" w:val="clear"/>
          </w:tcPr>
          <w:p>
            <w:r>
              <w:rPr>
                <w:rFonts w:ascii="Calibri" w:hAnsi="Calibri"/>
                <w:b w:val="0"/>
                <w:i w:val="0"/>
                <w:sz w:val="20"/>
              </w:rPr>
              <w:t>Expresar su punto de vista</w:t>
            </w:r>
          </w:p>
        </w:tc>
        <w:tc>
          <w:tcPr>
            <w:tcW w:type="dxa" w:w="7087"/>
            <w:shd w:fill="EBF3FB" w:val="clear"/>
          </w:tcPr>
          <w:p>
            <w:r>
              <w:rPr>
                <w:rFonts w:ascii="Calibri" w:hAnsi="Calibri"/>
                <w:b w:val="0"/>
                <w:i w:val="0"/>
                <w:sz w:val="20"/>
              </w:rPr>
              <w:t>El titular tiene derecho a presentar su posición frente a una decisión automatizada que lo perjudique.</w:t>
            </w:r>
          </w:p>
        </w:tc>
      </w:tr>
    </w:tbl>
    <w:p/>
    <w:p>
      <w:pPr>
        <w:spacing w:before="60" w:after="100"/>
        <w:ind w:left="283"/>
      </w:pPr>
      <w:r>
        <w:rPr>
          <w:rFonts w:ascii="Calibri" w:hAnsi="Calibri"/>
          <w:b w:val="0"/>
          <w:i/>
          <w:color w:val="8C0000"/>
          <w:sz w:val="20"/>
        </w:rPr>
        <w:t>⚠  Este derecho es cada vez más relevante con el avance de la IA. Afecta directamente a sistemas de scoring crediticio, selección de personal, perfilamiento publicitario y moderación de contenido.</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5. PROCEDIMIENTO PARA EJERCER LOS DERECHOS (Art. 11)</w:t>
      </w:r>
    </w:p>
    <w:p>
      <w:pPr>
        <w:spacing w:before="160" w:after="40"/>
      </w:pPr>
      <w:r>
        <w:rPr>
          <w:rFonts w:ascii="Calibri" w:hAnsi="Calibri"/>
          <w:b/>
          <w:i w:val="0"/>
          <w:color w:val="0070C0"/>
          <w:sz w:val="22"/>
        </w:rPr>
        <w:t>5.1  Elementos mínimos de toda solicitud</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03F7F" w:val="clear"/>
          </w:tcPr>
          <w:p>
            <w:r>
              <w:rPr>
                <w:rFonts w:ascii="Calibri" w:hAnsi="Calibri"/>
                <w:b/>
                <w:i w:val="0"/>
                <w:color w:val="FFFFFF"/>
                <w:sz w:val="20"/>
              </w:rPr>
              <w:t>Elemento</w:t>
            </w:r>
          </w:p>
        </w:tc>
        <w:tc>
          <w:tcPr>
            <w:tcW w:type="dxa" w:w="4252"/>
            <w:shd w:fill="003F7F" w:val="clear"/>
          </w:tcPr>
          <w:p>
            <w:r>
              <w:rPr>
                <w:rFonts w:ascii="Calibri" w:hAnsi="Calibri"/>
                <w:b/>
                <w:i w:val="0"/>
                <w:color w:val="FFFFFF"/>
                <w:sz w:val="20"/>
              </w:rPr>
              <w:t>Descripción</w:t>
            </w:r>
          </w:p>
        </w:tc>
        <w:tc>
          <w:tcPr>
            <w:tcW w:type="dxa" w:w="3402"/>
            <w:shd w:fill="003F7F" w:val="clear"/>
          </w:tcPr>
          <w:p>
            <w:r>
              <w:rPr>
                <w:rFonts w:ascii="Calibri" w:hAnsi="Calibri"/>
                <w:b/>
                <w:i w:val="0"/>
                <w:color w:val="FFFFFF"/>
                <w:sz w:val="20"/>
              </w:rPr>
              <w:t>Detalle por derecho</w:t>
            </w:r>
          </w:p>
        </w:tc>
      </w:tr>
      <w:tr>
        <w:tc>
          <w:tcPr>
            <w:tcW w:type="dxa" w:w="2268"/>
          </w:tcPr>
          <w:p>
            <w:r>
              <w:rPr>
                <w:rFonts w:ascii="Calibri" w:hAnsi="Calibri"/>
                <w:b w:val="0"/>
                <w:i w:val="0"/>
                <w:sz w:val="20"/>
              </w:rPr>
              <w:t>Identificación y autenticación</w:t>
            </w:r>
          </w:p>
        </w:tc>
        <w:tc>
          <w:tcPr>
            <w:tcW w:type="dxa" w:w="4252"/>
          </w:tcPr>
          <w:p>
            <w:r>
              <w:rPr>
                <w:rFonts w:ascii="Calibri" w:hAnsi="Calibri"/>
                <w:b w:val="0"/>
                <w:i w:val="0"/>
                <w:sz w:val="20"/>
              </w:rPr>
              <w:t>Nombre, RUT u otro identificador + autenticación de identidad (doble factor, firma electrónica, etc.).</w:t>
            </w:r>
          </w:p>
        </w:tc>
        <w:tc>
          <w:tcPr>
            <w:tcW w:type="dxa" w:w="3402"/>
          </w:tcPr>
          <w:p>
            <w:r>
              <w:rPr>
                <w:rFonts w:ascii="Calibri" w:hAnsi="Calibri"/>
                <w:b w:val="0"/>
                <w:i w:val="0"/>
                <w:sz w:val="20"/>
              </w:rPr>
              <w:t>Obligatorio en todos los derechos.</w:t>
            </w:r>
          </w:p>
        </w:tc>
      </w:tr>
      <w:tr>
        <w:tc>
          <w:tcPr>
            <w:tcW w:type="dxa" w:w="2268"/>
            <w:shd w:fill="EBF3FB" w:val="clear"/>
          </w:tcPr>
          <w:p>
            <w:r>
              <w:rPr>
                <w:rFonts w:ascii="Calibri" w:hAnsi="Calibri"/>
                <w:b w:val="0"/>
                <w:i w:val="0"/>
                <w:sz w:val="20"/>
              </w:rPr>
              <w:t>Medio de contacto</w:t>
            </w:r>
          </w:p>
        </w:tc>
        <w:tc>
          <w:tcPr>
            <w:tcW w:type="dxa" w:w="4252"/>
            <w:shd w:fill="EBF3FB" w:val="clear"/>
          </w:tcPr>
          <w:p>
            <w:r>
              <w:rPr>
                <w:rFonts w:ascii="Calibri" w:hAnsi="Calibri"/>
                <w:b w:val="0"/>
                <w:i w:val="0"/>
                <w:sz w:val="20"/>
              </w:rPr>
              <w:t>Domicilio, correo electrónico u otro medio equivalente para recibir la respuesta.</w:t>
            </w:r>
          </w:p>
        </w:tc>
        <w:tc>
          <w:tcPr>
            <w:tcW w:type="dxa" w:w="3402"/>
            <w:shd w:fill="EBF3FB" w:val="clear"/>
          </w:tcPr>
          <w:p>
            <w:r>
              <w:rPr>
                <w:rFonts w:ascii="Calibri" w:hAnsi="Calibri"/>
                <w:b w:val="0"/>
                <w:i w:val="0"/>
                <w:sz w:val="20"/>
              </w:rPr>
              <w:t>Obligatorio en todos.</w:t>
            </w:r>
          </w:p>
        </w:tc>
      </w:tr>
      <w:tr>
        <w:tc>
          <w:tcPr>
            <w:tcW w:type="dxa" w:w="2268"/>
          </w:tcPr>
          <w:p>
            <w:r>
              <w:rPr>
                <w:rFonts w:ascii="Calibri" w:hAnsi="Calibri"/>
                <w:b w:val="0"/>
                <w:i w:val="0"/>
                <w:sz w:val="20"/>
              </w:rPr>
              <w:t>Datos y tratamiento involucrado</w:t>
            </w:r>
          </w:p>
        </w:tc>
        <w:tc>
          <w:tcPr>
            <w:tcW w:type="dxa" w:w="4252"/>
          </w:tcPr>
          <w:p>
            <w:r>
              <w:rPr>
                <w:rFonts w:ascii="Calibri" w:hAnsi="Calibri"/>
                <w:b w:val="0"/>
                <w:i w:val="0"/>
                <w:sz w:val="20"/>
              </w:rPr>
              <w:t>Especificar sobre qué datos personales y qué tratamiento se ejerce el derecho.</w:t>
            </w:r>
          </w:p>
        </w:tc>
        <w:tc>
          <w:tcPr>
            <w:tcW w:type="dxa" w:w="3402"/>
          </w:tcPr>
          <w:p>
            <w:r>
              <w:rPr>
                <w:rFonts w:ascii="Calibri" w:hAnsi="Calibri"/>
                <w:b w:val="0"/>
                <w:i w:val="0"/>
                <w:sz w:val="20"/>
              </w:rPr>
              <w:t>Obligatorio en todos, excepto acceso (solo identificación).</w:t>
            </w:r>
          </w:p>
        </w:tc>
      </w:tr>
      <w:tr>
        <w:tc>
          <w:tcPr>
            <w:tcW w:type="dxa" w:w="2268"/>
            <w:shd w:fill="EBF3FB" w:val="clear"/>
          </w:tcPr>
          <w:p>
            <w:r>
              <w:rPr>
                <w:rFonts w:ascii="Calibri" w:hAnsi="Calibri"/>
                <w:b w:val="0"/>
                <w:i w:val="0"/>
                <w:sz w:val="20"/>
              </w:rPr>
              <w:t>Detalle específico por derecho</w:t>
            </w:r>
          </w:p>
        </w:tc>
        <w:tc>
          <w:tcPr>
            <w:tcW w:type="dxa" w:w="4252"/>
            <w:shd w:fill="EBF3FB" w:val="clear"/>
          </w:tcPr>
          <w:p>
            <w:r>
              <w:rPr>
                <w:rFonts w:ascii="Calibri" w:hAnsi="Calibri"/>
                <w:b w:val="0"/>
                <w:i w:val="0"/>
                <w:sz w:val="20"/>
              </w:rPr>
              <w:t>Rectificación: indicar modificación + documentos de respaldo.</w:t>
              <w:br/>
              <w:t>Supresión: señalar causal legal invocada.</w:t>
              <w:br/>
              <w:t>Oposición: causal invocada (interés legítimo, marketing, fuente pública) + fundamentación breve si es interés legítimo.</w:t>
            </w:r>
          </w:p>
        </w:tc>
        <w:tc>
          <w:tcPr>
            <w:tcW w:type="dxa" w:w="3402"/>
            <w:shd w:fill="EBF3FB" w:val="clear"/>
          </w:tcPr>
          <w:p>
            <w:r>
              <w:rPr>
                <w:rFonts w:ascii="Calibri" w:hAnsi="Calibri"/>
                <w:b w:val="0"/>
                <w:i w:val="0"/>
                <w:sz w:val="20"/>
              </w:rPr>
              <w:t>Varía según el derecho ejercido.</w:t>
            </w:r>
          </w:p>
        </w:tc>
      </w:tr>
    </w:tbl>
    <w:p/>
    <w:p>
      <w:pPr>
        <w:spacing w:before="160" w:after="40"/>
      </w:pPr>
      <w:r>
        <w:rPr>
          <w:rFonts w:ascii="Calibri" w:hAnsi="Calibri"/>
          <w:b/>
          <w:i w:val="0"/>
          <w:color w:val="0070C0"/>
          <w:sz w:val="22"/>
        </w:rPr>
        <w:t>5.2  Límites de frecuencia y costos</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fill="003F7F" w:val="clear"/>
          </w:tcPr>
          <w:p>
            <w:r>
              <w:rPr>
                <w:rFonts w:ascii="Calibri" w:hAnsi="Calibri"/>
                <w:b/>
                <w:i w:val="0"/>
                <w:color w:val="FFFFFF"/>
                <w:sz w:val="20"/>
              </w:rPr>
              <w:t>Derecho</w:t>
            </w:r>
          </w:p>
        </w:tc>
        <w:tc>
          <w:tcPr>
            <w:tcW w:type="dxa" w:w="3118"/>
            <w:shd w:fill="003F7F" w:val="clear"/>
          </w:tcPr>
          <w:p>
            <w:r>
              <w:rPr>
                <w:rFonts w:ascii="Calibri" w:hAnsi="Calibri"/>
                <w:b/>
                <w:i w:val="0"/>
                <w:color w:val="FFFFFF"/>
                <w:sz w:val="20"/>
              </w:rPr>
              <w:t>Frecuencia gratuita</w:t>
            </w:r>
          </w:p>
        </w:tc>
        <w:tc>
          <w:tcPr>
            <w:tcW w:type="dxa" w:w="3685"/>
            <w:shd w:fill="003F7F" w:val="clear"/>
          </w:tcPr>
          <w:p>
            <w:r>
              <w:rPr>
                <w:rFonts w:ascii="Calibri" w:hAnsi="Calibri"/>
                <w:b/>
                <w:i w:val="0"/>
                <w:color w:val="FFFFFF"/>
                <w:sz w:val="20"/>
              </w:rPr>
              <w:t>Si supera el límite</w:t>
            </w:r>
          </w:p>
        </w:tc>
      </w:tr>
      <w:tr>
        <w:tc>
          <w:tcPr>
            <w:tcW w:type="dxa" w:w="3118"/>
          </w:tcPr>
          <w:p>
            <w:r>
              <w:rPr>
                <w:rFonts w:ascii="Calibri" w:hAnsi="Calibri"/>
                <w:b w:val="0"/>
                <w:i w:val="0"/>
                <w:sz w:val="20"/>
              </w:rPr>
              <w:t>Acceso</w:t>
            </w:r>
          </w:p>
        </w:tc>
        <w:tc>
          <w:tcPr>
            <w:tcW w:type="dxa" w:w="3118"/>
          </w:tcPr>
          <w:p>
            <w:r>
              <w:rPr>
                <w:rFonts w:ascii="Calibri" w:hAnsi="Calibri"/>
                <w:b w:val="0"/>
                <w:i w:val="0"/>
                <w:sz w:val="20"/>
              </w:rPr>
              <w:t>1 vez por trimestre</w:t>
            </w:r>
          </w:p>
        </w:tc>
        <w:tc>
          <w:tcPr>
            <w:tcW w:type="dxa" w:w="3685"/>
          </w:tcPr>
          <w:p>
            <w:r>
              <w:rPr>
                <w:rFonts w:ascii="Calibri" w:hAnsi="Calibri"/>
                <w:b w:val="0"/>
                <w:i w:val="0"/>
                <w:sz w:val="20"/>
              </w:rPr>
              <w:t>Responsable puede cobrar costos directos (sin margen)</w:t>
            </w:r>
          </w:p>
        </w:tc>
      </w:tr>
      <w:tr>
        <w:tc>
          <w:tcPr>
            <w:tcW w:type="dxa" w:w="3118"/>
            <w:shd w:fill="EBF3FB" w:val="clear"/>
          </w:tcPr>
          <w:p>
            <w:r>
              <w:rPr>
                <w:rFonts w:ascii="Calibri" w:hAnsi="Calibri"/>
                <w:b w:val="0"/>
                <w:i w:val="0"/>
                <w:sz w:val="20"/>
              </w:rPr>
              <w:t>Portabilidad</w:t>
            </w:r>
          </w:p>
        </w:tc>
        <w:tc>
          <w:tcPr>
            <w:tcW w:type="dxa" w:w="3118"/>
            <w:shd w:fill="EBF3FB" w:val="clear"/>
          </w:tcPr>
          <w:p>
            <w:r>
              <w:rPr>
                <w:rFonts w:ascii="Calibri" w:hAnsi="Calibri"/>
                <w:b w:val="0"/>
                <w:i w:val="0"/>
                <w:sz w:val="20"/>
              </w:rPr>
              <w:t>1 vez por trimestre</w:t>
            </w:r>
          </w:p>
        </w:tc>
        <w:tc>
          <w:tcPr>
            <w:tcW w:type="dxa" w:w="3685"/>
            <w:shd w:fill="EBF3FB" w:val="clear"/>
          </w:tcPr>
          <w:p>
            <w:r>
              <w:rPr>
                <w:rFonts w:ascii="Calibri" w:hAnsi="Calibri"/>
                <w:b w:val="0"/>
                <w:i w:val="0"/>
                <w:sz w:val="20"/>
              </w:rPr>
              <w:t>Ídem</w:t>
            </w:r>
          </w:p>
        </w:tc>
      </w:tr>
      <w:tr>
        <w:tc>
          <w:tcPr>
            <w:tcW w:type="dxa" w:w="3118"/>
          </w:tcPr>
          <w:p>
            <w:r>
              <w:rPr>
                <w:rFonts w:ascii="Calibri" w:hAnsi="Calibri"/>
                <w:b w:val="0"/>
                <w:i w:val="0"/>
                <w:sz w:val="20"/>
              </w:rPr>
              <w:t>Rectificación, Supresión, Oposición, Bloqueo</w:t>
            </w:r>
          </w:p>
        </w:tc>
        <w:tc>
          <w:tcPr>
            <w:tcW w:type="dxa" w:w="3118"/>
          </w:tcPr>
          <w:p>
            <w:r>
              <w:rPr>
                <w:rFonts w:ascii="Calibri" w:hAnsi="Calibri"/>
                <w:b w:val="0"/>
                <w:i w:val="0"/>
                <w:sz w:val="20"/>
              </w:rPr>
              <w:t>Sin límite de frecuencia</w:t>
            </w:r>
          </w:p>
        </w:tc>
        <w:tc>
          <w:tcPr>
            <w:tcW w:type="dxa" w:w="3685"/>
          </w:tcPr>
          <w:p>
            <w:r>
              <w:rPr>
                <w:rFonts w:ascii="Calibri" w:hAnsi="Calibri"/>
                <w:b w:val="0"/>
                <w:i w:val="0"/>
                <w:sz w:val="20"/>
              </w:rPr>
              <w:t>Siempre gratuitos</w:t>
            </w:r>
          </w:p>
        </w:tc>
      </w:tr>
    </w:tbl>
    <w:p/>
    <w:p>
      <w:pPr>
        <w:spacing w:before="160" w:after="40"/>
      </w:pPr>
      <w:r>
        <w:rPr>
          <w:rFonts w:ascii="Calibri" w:hAnsi="Calibri"/>
          <w:b/>
          <w:i w:val="0"/>
          <w:color w:val="0070C0"/>
          <w:sz w:val="22"/>
        </w:rPr>
        <w:t>5.3  Plazos del responsable</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003F7F" w:val="clear"/>
          </w:tcPr>
          <w:p>
            <w:r>
              <w:rPr>
                <w:rFonts w:ascii="Calibri" w:hAnsi="Calibri"/>
                <w:b/>
                <w:i w:val="0"/>
                <w:color w:val="FFFFFF"/>
                <w:sz w:val="20"/>
              </w:rPr>
              <w:t>Acción</w:t>
            </w:r>
          </w:p>
        </w:tc>
        <w:tc>
          <w:tcPr>
            <w:tcW w:type="dxa" w:w="2835"/>
            <w:shd w:fill="003F7F" w:val="clear"/>
          </w:tcPr>
          <w:p>
            <w:r>
              <w:rPr>
                <w:rFonts w:ascii="Calibri" w:hAnsi="Calibri"/>
                <w:b/>
                <w:i w:val="0"/>
                <w:color w:val="FFFFFF"/>
                <w:sz w:val="20"/>
              </w:rPr>
              <w:t>Plazo</w:t>
            </w:r>
          </w:p>
        </w:tc>
        <w:tc>
          <w:tcPr>
            <w:tcW w:type="dxa" w:w="3685"/>
            <w:shd w:fill="003F7F" w:val="clear"/>
          </w:tcPr>
          <w:p>
            <w:r>
              <w:rPr>
                <w:rFonts w:ascii="Calibri" w:hAnsi="Calibri"/>
                <w:b/>
                <w:i w:val="0"/>
                <w:color w:val="FFFFFF"/>
                <w:sz w:val="20"/>
              </w:rPr>
              <w:t>Tipo de días</w:t>
            </w:r>
          </w:p>
        </w:tc>
      </w:tr>
      <w:tr>
        <w:tc>
          <w:tcPr>
            <w:tcW w:type="dxa" w:w="3402"/>
          </w:tcPr>
          <w:p>
            <w:r>
              <w:rPr>
                <w:rFonts w:ascii="Calibri" w:hAnsi="Calibri"/>
                <w:b w:val="0"/>
                <w:i w:val="0"/>
                <w:sz w:val="20"/>
              </w:rPr>
              <w:t>Acuse de recibo de la solicitud</w:t>
            </w:r>
          </w:p>
        </w:tc>
        <w:tc>
          <w:tcPr>
            <w:tcW w:type="dxa" w:w="2835"/>
          </w:tcPr>
          <w:p>
            <w:r>
              <w:rPr>
                <w:rFonts w:ascii="Calibri" w:hAnsi="Calibri"/>
                <w:b w:val="0"/>
                <w:i w:val="0"/>
                <w:sz w:val="20"/>
              </w:rPr>
              <w:t>Inmediato / dentro del plazo de respuesta</w:t>
            </w:r>
          </w:p>
        </w:tc>
        <w:tc>
          <w:tcPr>
            <w:tcW w:type="dxa" w:w="3685"/>
          </w:tcPr>
          <w:p>
            <w:r>
              <w:rPr>
                <w:rFonts w:ascii="Calibri" w:hAnsi="Calibri"/>
                <w:b w:val="0"/>
                <w:i w:val="0"/>
                <w:sz w:val="20"/>
              </w:rPr>
              <w:t>—</w:t>
            </w:r>
          </w:p>
        </w:tc>
      </w:tr>
      <w:tr>
        <w:tc>
          <w:tcPr>
            <w:tcW w:type="dxa" w:w="3402"/>
            <w:shd w:fill="EBF3FB" w:val="clear"/>
          </w:tcPr>
          <w:p>
            <w:r>
              <w:rPr>
                <w:rFonts w:ascii="Calibri" w:hAnsi="Calibri"/>
                <w:b w:val="0"/>
                <w:i w:val="0"/>
                <w:sz w:val="20"/>
              </w:rPr>
              <w:t>Respuesta a cualquier derecho (excepto bloqueo)</w:t>
            </w:r>
          </w:p>
        </w:tc>
        <w:tc>
          <w:tcPr>
            <w:tcW w:type="dxa" w:w="2835"/>
            <w:shd w:fill="EBF3FB" w:val="clear"/>
          </w:tcPr>
          <w:p>
            <w:r>
              <w:rPr>
                <w:rFonts w:ascii="Calibri" w:hAnsi="Calibri"/>
                <w:b w:val="0"/>
                <w:i w:val="0"/>
                <w:sz w:val="20"/>
              </w:rPr>
              <w:t>30 días</w:t>
            </w:r>
          </w:p>
        </w:tc>
        <w:tc>
          <w:tcPr>
            <w:tcW w:type="dxa" w:w="3685"/>
            <w:shd w:fill="EBF3FB" w:val="clear"/>
          </w:tcPr>
          <w:p>
            <w:r>
              <w:rPr>
                <w:rFonts w:ascii="Calibri" w:hAnsi="Calibri"/>
                <w:b w:val="0"/>
                <w:i w:val="0"/>
                <w:sz w:val="20"/>
              </w:rPr>
              <w:t>Corridos</w:t>
            </w:r>
          </w:p>
        </w:tc>
      </w:tr>
      <w:tr>
        <w:tc>
          <w:tcPr>
            <w:tcW w:type="dxa" w:w="3402"/>
          </w:tcPr>
          <w:p>
            <w:r>
              <w:rPr>
                <w:rFonts w:ascii="Calibri" w:hAnsi="Calibri"/>
                <w:b w:val="0"/>
                <w:i w:val="0"/>
                <w:sz w:val="20"/>
              </w:rPr>
              <w:t>Prórroga (con justificación)</w:t>
            </w:r>
          </w:p>
        </w:tc>
        <w:tc>
          <w:tcPr>
            <w:tcW w:type="dxa" w:w="2835"/>
          </w:tcPr>
          <w:p>
            <w:r>
              <w:rPr>
                <w:rFonts w:ascii="Calibri" w:hAnsi="Calibri"/>
                <w:b w:val="0"/>
                <w:i w:val="0"/>
                <w:sz w:val="20"/>
              </w:rPr>
              <w:t>+30 días adicionales (máximo 60 días en total)</w:t>
            </w:r>
          </w:p>
        </w:tc>
        <w:tc>
          <w:tcPr>
            <w:tcW w:type="dxa" w:w="3685"/>
          </w:tcPr>
          <w:p>
            <w:r>
              <w:rPr>
                <w:rFonts w:ascii="Calibri" w:hAnsi="Calibri"/>
                <w:b w:val="0"/>
                <w:i w:val="0"/>
                <w:sz w:val="20"/>
              </w:rPr>
              <w:t>Corridos</w:t>
            </w:r>
          </w:p>
        </w:tc>
      </w:tr>
      <w:tr>
        <w:tc>
          <w:tcPr>
            <w:tcW w:type="dxa" w:w="3402"/>
            <w:shd w:fill="EBF3FB" w:val="clear"/>
          </w:tcPr>
          <w:p>
            <w:r>
              <w:rPr>
                <w:rFonts w:ascii="Calibri" w:hAnsi="Calibri"/>
                <w:b w:val="0"/>
                <w:i w:val="0"/>
                <w:sz w:val="20"/>
              </w:rPr>
              <w:t>Respuesta a bloqueo temporal</w:t>
            </w:r>
          </w:p>
        </w:tc>
        <w:tc>
          <w:tcPr>
            <w:tcW w:type="dxa" w:w="2835"/>
            <w:shd w:fill="EBF3FB" w:val="clear"/>
          </w:tcPr>
          <w:p>
            <w:r>
              <w:rPr>
                <w:rFonts w:ascii="Calibri" w:hAnsi="Calibri"/>
                <w:b w:val="0"/>
                <w:i w:val="0"/>
                <w:sz w:val="20"/>
              </w:rPr>
              <w:t>2 días</w:t>
            </w:r>
          </w:p>
        </w:tc>
        <w:tc>
          <w:tcPr>
            <w:tcW w:type="dxa" w:w="3685"/>
            <w:shd w:fill="EBF3FB" w:val="clear"/>
          </w:tcPr>
          <w:p>
            <w:r>
              <w:rPr>
                <w:rFonts w:ascii="Calibri" w:hAnsi="Calibri"/>
                <w:b w:val="0"/>
                <w:i w:val="0"/>
                <w:sz w:val="20"/>
              </w:rPr>
              <w:t>HÁBILES — el más corto</w:t>
            </w:r>
          </w:p>
        </w:tc>
      </w:tr>
      <w:tr>
        <w:tc>
          <w:tcPr>
            <w:tcW w:type="dxa" w:w="3402"/>
          </w:tcPr>
          <w:p>
            <w:r>
              <w:rPr>
                <w:rFonts w:ascii="Calibri" w:hAnsi="Calibri"/>
                <w:b w:val="0"/>
                <w:i w:val="0"/>
                <w:sz w:val="20"/>
              </w:rPr>
              <w:t>Plazo para reclamar ante la Agencia (titular)</w:t>
            </w:r>
          </w:p>
        </w:tc>
        <w:tc>
          <w:tcPr>
            <w:tcW w:type="dxa" w:w="2835"/>
          </w:tcPr>
          <w:p>
            <w:r>
              <w:rPr>
                <w:rFonts w:ascii="Calibri" w:hAnsi="Calibri"/>
                <w:b w:val="0"/>
                <w:i w:val="0"/>
                <w:sz w:val="20"/>
              </w:rPr>
              <w:t>30 días desde la denegación o falta de respuesta</w:t>
            </w:r>
          </w:p>
        </w:tc>
        <w:tc>
          <w:tcPr>
            <w:tcW w:type="dxa" w:w="3685"/>
          </w:tcPr>
          <w:p>
            <w:r>
              <w:rPr>
                <w:rFonts w:ascii="Calibri" w:hAnsi="Calibri"/>
                <w:b w:val="0"/>
                <w:i w:val="0"/>
                <w:sz w:val="20"/>
              </w:rPr>
              <w:t>HÁBILES</w:t>
            </w:r>
          </w:p>
        </w:tc>
      </w:tr>
    </w:tbl>
    <w:p/>
    <w:p>
      <w:pPr>
        <w:spacing w:before="60" w:after="100"/>
        <w:ind w:left="283"/>
      </w:pPr>
      <w:r>
        <w:rPr>
          <w:rFonts w:ascii="Calibri" w:hAnsi="Calibri"/>
          <w:b w:val="0"/>
          <w:i/>
          <w:color w:val="8C0000"/>
          <w:sz w:val="20"/>
        </w:rPr>
        <w:t>⚠  Atención: el plazo para reclamar ante la Agencia es de 30 días HÁBILES (no corridos), a diferencia del plazo del responsable que son días corridos.</w:t>
      </w:r>
    </w:p>
    <w:p>
      <w:pPr>
        <w:spacing w:before="160" w:after="40"/>
      </w:pPr>
      <w:r>
        <w:rPr>
          <w:rFonts w:ascii="Calibri" w:hAnsi="Calibri"/>
          <w:b/>
          <w:i w:val="0"/>
          <w:color w:val="0070C0"/>
          <w:sz w:val="22"/>
        </w:rPr>
        <w:t>5.4  Formato y respaldo de la respuesta</w:t>
      </w:r>
    </w:p>
    <w:p>
      <w:pPr>
        <w:pStyle w:val="ListBullet"/>
        <w:spacing w:after="40"/>
      </w:pPr>
      <w:r>
        <w:rPr>
          <w:rFonts w:ascii="Calibri" w:hAnsi="Calibri"/>
          <w:b/>
          <w:i w:val="0"/>
          <w:color w:val="00467F"/>
          <w:sz w:val="22"/>
        </w:rPr>
        <w:t xml:space="preserve">Formato:  </w:t>
      </w:r>
      <w:r>
        <w:rPr>
          <w:rFonts w:ascii="Calibri" w:hAnsi="Calibri"/>
          <w:b w:val="0"/>
          <w:i w:val="0"/>
          <w:color w:val="282828"/>
          <w:sz w:val="22"/>
        </w:rPr>
        <w:t>La respuesta debe ser ESCRITA y enviada al medio de contacto indicado por el titular.</w:t>
      </w:r>
    </w:p>
    <w:p>
      <w:pPr>
        <w:pStyle w:val="ListBullet"/>
        <w:spacing w:after="40"/>
      </w:pPr>
      <w:r>
        <w:rPr>
          <w:rFonts w:ascii="Calibri" w:hAnsi="Calibri"/>
          <w:b/>
          <w:i w:val="0"/>
          <w:color w:val="00467F"/>
          <w:sz w:val="22"/>
        </w:rPr>
        <w:t xml:space="preserve">Archivo:  </w:t>
      </w:r>
      <w:r>
        <w:rPr>
          <w:rFonts w:ascii="Calibri" w:hAnsi="Calibri"/>
          <w:b w:val="0"/>
          <w:i w:val="0"/>
          <w:color w:val="282828"/>
          <w:sz w:val="22"/>
        </w:rPr>
        <w:t>El responsable debe conservar respaldo del envío con fecha y contenido íntegro.</w:t>
      </w:r>
    </w:p>
    <w:p>
      <w:pPr>
        <w:pStyle w:val="ListBullet"/>
        <w:spacing w:after="40"/>
      </w:pPr>
      <w:r>
        <w:rPr>
          <w:rFonts w:ascii="Calibri" w:hAnsi="Calibri"/>
          <w:b/>
          <w:i w:val="0"/>
          <w:color w:val="00467F"/>
          <w:sz w:val="22"/>
        </w:rPr>
        <w:t xml:space="preserve">Carga de la prueba:  </w:t>
      </w:r>
      <w:r>
        <w:rPr>
          <w:rFonts w:ascii="Calibri" w:hAnsi="Calibri"/>
          <w:b w:val="0"/>
          <w:i w:val="0"/>
          <w:color w:val="282828"/>
          <w:sz w:val="22"/>
        </w:rPr>
        <w:t>El peso de la prueba recae en el RESPONSABLE (accountability): no basta hacer, hay que registrar y probar.</w:t>
      </w:r>
    </w:p>
    <w:p>
      <w:pPr>
        <w:pStyle w:val="ListBullet"/>
        <w:spacing w:after="40"/>
      </w:pPr>
      <w:r>
        <w:rPr>
          <w:rFonts w:ascii="Calibri" w:hAnsi="Calibri"/>
          <w:b/>
          <w:i w:val="0"/>
          <w:color w:val="00467F"/>
          <w:sz w:val="22"/>
        </w:rPr>
        <w:t xml:space="preserve">Denegación:  </w:t>
      </w:r>
      <w:r>
        <w:rPr>
          <w:rFonts w:ascii="Calibri" w:hAnsi="Calibri"/>
          <w:b w:val="0"/>
          <w:i w:val="0"/>
          <w:color w:val="282828"/>
          <w:sz w:val="22"/>
        </w:rPr>
        <w:t>Si se deniega: fundamentar técnica y legalmente la decisión e informar al titular su derecho a reclamar ante la Agencia.</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6. RECLAMACIONES ANTE LA AGENCIA DE PROTECCIÓN DE DATOS</w:t>
      </w:r>
    </w:p>
    <w:p>
      <w:pPr>
        <w:spacing w:before="160" w:after="40"/>
      </w:pPr>
      <w:r>
        <w:rPr>
          <w:rFonts w:ascii="Calibri" w:hAnsi="Calibri"/>
          <w:b/>
          <w:i w:val="0"/>
          <w:color w:val="0070C0"/>
          <w:sz w:val="22"/>
        </w:rPr>
        <w:t>6.1  ¿Cuándo puede reclamar el titular?</w:t>
      </w:r>
    </w:p>
    <w:p>
      <w:pPr>
        <w:pStyle w:val="ListBullet"/>
        <w:spacing w:after="40"/>
      </w:pPr>
      <w:r>
        <w:rPr>
          <w:rFonts w:ascii="Calibri" w:hAnsi="Calibri"/>
          <w:b w:val="0"/>
          <w:i w:val="0"/>
          <w:color w:val="282828"/>
          <w:sz w:val="22"/>
        </w:rPr>
        <w:t>El responsable denegó la solicitud de forma injustificada.</w:t>
      </w:r>
    </w:p>
    <w:p>
      <w:pPr>
        <w:pStyle w:val="ListBullet"/>
        <w:spacing w:after="40"/>
      </w:pPr>
      <w:r>
        <w:rPr>
          <w:rFonts w:ascii="Calibri" w:hAnsi="Calibri"/>
          <w:b w:val="0"/>
          <w:i w:val="0"/>
          <w:color w:val="282828"/>
          <w:sz w:val="22"/>
        </w:rPr>
        <w:t>El responsable no respondió dentro del plazo legal.</w:t>
      </w:r>
    </w:p>
    <w:p>
      <w:pPr>
        <w:pStyle w:val="ListBullet"/>
        <w:spacing w:after="40"/>
      </w:pPr>
      <w:r>
        <w:rPr>
          <w:rFonts w:ascii="Calibri" w:hAnsi="Calibri"/>
          <w:b w:val="0"/>
          <w:i w:val="0"/>
          <w:color w:val="282828"/>
          <w:sz w:val="22"/>
        </w:rPr>
        <w:t>La respuesta fue insuficiente o evasiva.</w:t>
      </w:r>
    </w:p>
    <w:p>
      <w:pPr>
        <w:spacing w:before="160" w:after="40"/>
      </w:pPr>
      <w:r>
        <w:rPr>
          <w:rFonts w:ascii="Calibri" w:hAnsi="Calibri"/>
          <w:b/>
          <w:i w:val="0"/>
          <w:color w:val="0070C0"/>
          <w:sz w:val="22"/>
        </w:rPr>
        <w:t>6.2  Plazo para reclamar</w:t>
      </w:r>
    </w:p>
    <w:p>
      <w:pPr>
        <w:ind w:left="283"/>
      </w:pPr>
      <w:r>
        <w:rPr>
          <w:rFonts w:ascii="Calibri" w:hAnsi="Calibri"/>
          <w:b/>
          <w:i w:val="0"/>
          <w:color w:val="B40000"/>
          <w:sz w:val="22"/>
        </w:rPr>
        <w:t>30 días HÁBILES desde la denegación o desde que venció el plazo de respuesta, prorrogables por 30 días hábiles más.</w:t>
      </w:r>
    </w:p>
    <w:p>
      <w:pPr>
        <w:spacing w:before="160" w:after="40"/>
      </w:pPr>
      <w:r>
        <w:rPr>
          <w:rFonts w:ascii="Calibri" w:hAnsi="Calibri"/>
          <w:b/>
          <w:i w:val="0"/>
          <w:color w:val="0070C0"/>
          <w:sz w:val="22"/>
        </w:rPr>
        <w:t>6.3  Flujo completo</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003F7F" w:val="clear"/>
          </w:tcPr>
          <w:p>
            <w:r>
              <w:rPr>
                <w:rFonts w:ascii="Calibri" w:hAnsi="Calibri"/>
                <w:b/>
                <w:i w:val="0"/>
                <w:color w:val="FFFFFF"/>
                <w:sz w:val="20"/>
              </w:rPr>
              <w:t>Etapa</w:t>
            </w:r>
          </w:p>
        </w:tc>
        <w:tc>
          <w:tcPr>
            <w:tcW w:type="dxa" w:w="1984"/>
            <w:shd w:fill="003F7F" w:val="clear"/>
          </w:tcPr>
          <w:p>
            <w:r>
              <w:rPr>
                <w:rFonts w:ascii="Calibri" w:hAnsi="Calibri"/>
                <w:b/>
                <w:i w:val="0"/>
                <w:color w:val="FFFFFF"/>
                <w:sz w:val="20"/>
              </w:rPr>
              <w:t>Actor</w:t>
            </w:r>
          </w:p>
        </w:tc>
        <w:tc>
          <w:tcPr>
            <w:tcW w:type="dxa" w:w="6520"/>
            <w:shd w:fill="003F7F" w:val="clear"/>
          </w:tcPr>
          <w:p>
            <w:r>
              <w:rPr>
                <w:rFonts w:ascii="Calibri" w:hAnsi="Calibri"/>
                <w:b/>
                <w:i w:val="0"/>
                <w:color w:val="FFFFFF"/>
                <w:sz w:val="20"/>
              </w:rPr>
              <w:t>Acción</w:t>
            </w:r>
          </w:p>
        </w:tc>
      </w:tr>
      <w:tr>
        <w:tc>
          <w:tcPr>
            <w:tcW w:type="dxa" w:w="1417"/>
          </w:tcPr>
          <w:p>
            <w:r>
              <w:rPr>
                <w:rFonts w:ascii="Calibri" w:hAnsi="Calibri"/>
                <w:b w:val="0"/>
                <w:i w:val="0"/>
                <w:sz w:val="20"/>
              </w:rPr>
              <w:t>① Solicitud</w:t>
            </w:r>
          </w:p>
        </w:tc>
        <w:tc>
          <w:tcPr>
            <w:tcW w:type="dxa" w:w="1984"/>
          </w:tcPr>
          <w:p>
            <w:r>
              <w:rPr>
                <w:rFonts w:ascii="Calibri" w:hAnsi="Calibri"/>
                <w:b w:val="0"/>
                <w:i w:val="0"/>
                <w:sz w:val="20"/>
              </w:rPr>
              <w:t>Titular</w:t>
            </w:r>
          </w:p>
        </w:tc>
        <w:tc>
          <w:tcPr>
            <w:tcW w:type="dxa" w:w="6520"/>
          </w:tcPr>
          <w:p>
            <w:r>
              <w:rPr>
                <w:rFonts w:ascii="Calibri" w:hAnsi="Calibri"/>
                <w:b w:val="0"/>
                <w:i w:val="0"/>
                <w:sz w:val="20"/>
              </w:rPr>
              <w:t>Presenta solicitud de ejercicio de derecho al responsable.</w:t>
            </w:r>
          </w:p>
        </w:tc>
      </w:tr>
      <w:tr>
        <w:tc>
          <w:tcPr>
            <w:tcW w:type="dxa" w:w="1417"/>
            <w:shd w:fill="EBF3FB" w:val="clear"/>
          </w:tcPr>
          <w:p>
            <w:r>
              <w:rPr>
                <w:rFonts w:ascii="Calibri" w:hAnsi="Calibri"/>
                <w:b w:val="0"/>
                <w:i w:val="0"/>
                <w:sz w:val="20"/>
              </w:rPr>
              <w:t>② Respuesta / Silencio</w:t>
            </w:r>
          </w:p>
        </w:tc>
        <w:tc>
          <w:tcPr>
            <w:tcW w:type="dxa" w:w="1984"/>
            <w:shd w:fill="EBF3FB" w:val="clear"/>
          </w:tcPr>
          <w:p>
            <w:r>
              <w:rPr>
                <w:rFonts w:ascii="Calibri" w:hAnsi="Calibri"/>
                <w:b w:val="0"/>
                <w:i w:val="0"/>
                <w:sz w:val="20"/>
              </w:rPr>
              <w:t>Responsable</w:t>
            </w:r>
          </w:p>
        </w:tc>
        <w:tc>
          <w:tcPr>
            <w:tcW w:type="dxa" w:w="6520"/>
            <w:shd w:fill="EBF3FB" w:val="clear"/>
          </w:tcPr>
          <w:p>
            <w:r>
              <w:rPr>
                <w:rFonts w:ascii="Calibri" w:hAnsi="Calibri"/>
                <w:b w:val="0"/>
                <w:i w:val="0"/>
                <w:sz w:val="20"/>
              </w:rPr>
              <w:t>Responde en 30 días corridos, o no responde.</w:t>
            </w:r>
          </w:p>
        </w:tc>
      </w:tr>
      <w:tr>
        <w:tc>
          <w:tcPr>
            <w:tcW w:type="dxa" w:w="1417"/>
          </w:tcPr>
          <w:p>
            <w:r>
              <w:rPr>
                <w:rFonts w:ascii="Calibri" w:hAnsi="Calibri"/>
                <w:b w:val="0"/>
                <w:i w:val="0"/>
                <w:sz w:val="20"/>
              </w:rPr>
              <w:t>③ Reclamo</w:t>
            </w:r>
          </w:p>
        </w:tc>
        <w:tc>
          <w:tcPr>
            <w:tcW w:type="dxa" w:w="1984"/>
          </w:tcPr>
          <w:p>
            <w:r>
              <w:rPr>
                <w:rFonts w:ascii="Calibri" w:hAnsi="Calibri"/>
                <w:b w:val="0"/>
                <w:i w:val="0"/>
                <w:sz w:val="20"/>
              </w:rPr>
              <w:t>Titular</w:t>
            </w:r>
          </w:p>
        </w:tc>
        <w:tc>
          <w:tcPr>
            <w:tcW w:type="dxa" w:w="6520"/>
          </w:tcPr>
          <w:p>
            <w:r>
              <w:rPr>
                <w:rFonts w:ascii="Calibri" w:hAnsi="Calibri"/>
                <w:b w:val="0"/>
                <w:i w:val="0"/>
                <w:sz w:val="20"/>
              </w:rPr>
              <w:t>Si hay denegación o silencio, reclama ante la Agencia dentro de 30 días hábiles.</w:t>
            </w:r>
          </w:p>
        </w:tc>
      </w:tr>
      <w:tr>
        <w:tc>
          <w:tcPr>
            <w:tcW w:type="dxa" w:w="1417"/>
            <w:shd w:fill="EBF3FB" w:val="clear"/>
          </w:tcPr>
          <w:p>
            <w:r>
              <w:rPr>
                <w:rFonts w:ascii="Calibri" w:hAnsi="Calibri"/>
                <w:b w:val="0"/>
                <w:i w:val="0"/>
                <w:sz w:val="20"/>
              </w:rPr>
              <w:t>④ Instrucción de la Agencia</w:t>
            </w:r>
          </w:p>
        </w:tc>
        <w:tc>
          <w:tcPr>
            <w:tcW w:type="dxa" w:w="1984"/>
            <w:shd w:fill="EBF3FB" w:val="clear"/>
          </w:tcPr>
          <w:p>
            <w:r>
              <w:rPr>
                <w:rFonts w:ascii="Calibri" w:hAnsi="Calibri"/>
                <w:b w:val="0"/>
                <w:i w:val="0"/>
                <w:sz w:val="20"/>
              </w:rPr>
              <w:t>Agencia</w:t>
            </w:r>
          </w:p>
        </w:tc>
        <w:tc>
          <w:tcPr>
            <w:tcW w:type="dxa" w:w="6520"/>
            <w:shd w:fill="EBF3FB" w:val="clear"/>
          </w:tcPr>
          <w:p>
            <w:r>
              <w:rPr>
                <w:rFonts w:ascii="Calibri" w:hAnsi="Calibri"/>
                <w:b w:val="0"/>
                <w:i w:val="0"/>
                <w:sz w:val="20"/>
              </w:rPr>
              <w:t>Investiga, instruye y puede aplicar sanciones al responsable.</w:t>
            </w:r>
          </w:p>
        </w:tc>
      </w:tr>
      <w:tr>
        <w:tc>
          <w:tcPr>
            <w:tcW w:type="dxa" w:w="1417"/>
          </w:tcPr>
          <w:p>
            <w:r>
              <w:rPr>
                <w:rFonts w:ascii="Calibri" w:hAnsi="Calibri"/>
                <w:b w:val="0"/>
                <w:i w:val="0"/>
                <w:sz w:val="20"/>
              </w:rPr>
              <w:t>⑤ Resolución</w:t>
            </w:r>
          </w:p>
        </w:tc>
        <w:tc>
          <w:tcPr>
            <w:tcW w:type="dxa" w:w="1984"/>
          </w:tcPr>
          <w:p>
            <w:r>
              <w:rPr>
                <w:rFonts w:ascii="Calibri" w:hAnsi="Calibri"/>
                <w:b w:val="0"/>
                <w:i w:val="0"/>
                <w:sz w:val="20"/>
              </w:rPr>
              <w:t>Agencia</w:t>
            </w:r>
          </w:p>
        </w:tc>
        <w:tc>
          <w:tcPr>
            <w:tcW w:type="dxa" w:w="6520"/>
          </w:tcPr>
          <w:p>
            <w:r>
              <w:rPr>
                <w:rFonts w:ascii="Calibri" w:hAnsi="Calibri"/>
                <w:b w:val="0"/>
                <w:i w:val="0"/>
                <w:sz w:val="20"/>
              </w:rPr>
              <w:t>Emite resolución con la sanción correspondiente (puede publicarse en el Registro Nacional).</w:t>
            </w:r>
          </w:p>
        </w:tc>
      </w:tr>
    </w:tbl>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7. INFRACCIONES Y SANCIONES</w:t>
      </w:r>
    </w:p>
    <w:p>
      <w:pPr>
        <w:spacing w:before="160" w:after="40"/>
      </w:pPr>
      <w:r>
        <w:rPr>
          <w:rFonts w:ascii="Calibri" w:hAnsi="Calibri"/>
          <w:b/>
          <w:i w:val="0"/>
          <w:color w:val="0070C0"/>
          <w:sz w:val="22"/>
        </w:rPr>
        <w:t>7.1  Tipos de infracciones relacionadas con derechos ACCOP+</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003F7F" w:val="clear"/>
          </w:tcPr>
          <w:p>
            <w:r>
              <w:rPr>
                <w:rFonts w:ascii="Calibri" w:hAnsi="Calibri"/>
                <w:b/>
                <w:i w:val="0"/>
                <w:color w:val="FFFFFF"/>
                <w:sz w:val="20"/>
              </w:rPr>
              <w:t>Infracción</w:t>
            </w:r>
          </w:p>
        </w:tc>
        <w:tc>
          <w:tcPr>
            <w:tcW w:type="dxa" w:w="1417"/>
            <w:shd w:fill="003F7F" w:val="clear"/>
          </w:tcPr>
          <w:p>
            <w:r>
              <w:rPr>
                <w:rFonts w:ascii="Calibri" w:hAnsi="Calibri"/>
                <w:b/>
                <w:i w:val="0"/>
                <w:color w:val="FFFFFF"/>
                <w:sz w:val="20"/>
              </w:rPr>
              <w:t>Gravedad</w:t>
            </w:r>
          </w:p>
        </w:tc>
        <w:tc>
          <w:tcPr>
            <w:tcW w:type="dxa" w:w="5102"/>
            <w:shd w:fill="003F7F" w:val="clear"/>
          </w:tcPr>
          <w:p>
            <w:r>
              <w:rPr>
                <w:rFonts w:ascii="Calibri" w:hAnsi="Calibri"/>
                <w:b/>
                <w:i w:val="0"/>
                <w:color w:val="FFFFFF"/>
                <w:sz w:val="20"/>
              </w:rPr>
              <w:t>Ejemplo</w:t>
            </w:r>
          </w:p>
        </w:tc>
      </w:tr>
      <w:tr>
        <w:tc>
          <w:tcPr>
            <w:tcW w:type="dxa" w:w="3402"/>
          </w:tcPr>
          <w:p>
            <w:r>
              <w:rPr>
                <w:rFonts w:ascii="Calibri" w:hAnsi="Calibri"/>
                <w:b w:val="0"/>
                <w:i w:val="0"/>
                <w:sz w:val="20"/>
              </w:rPr>
              <w:t>Denegación injustificada de bloqueo temporal</w:t>
            </w:r>
          </w:p>
        </w:tc>
        <w:tc>
          <w:tcPr>
            <w:tcW w:type="dxa" w:w="1417"/>
          </w:tcPr>
          <w:p>
            <w:r>
              <w:rPr>
                <w:rFonts w:ascii="Calibri" w:hAnsi="Calibri"/>
                <w:b w:val="0"/>
                <w:i w:val="0"/>
                <w:sz w:val="20"/>
              </w:rPr>
              <w:t>GRAVE</w:t>
            </w:r>
          </w:p>
        </w:tc>
        <w:tc>
          <w:tcPr>
            <w:tcW w:type="dxa" w:w="5102"/>
          </w:tcPr>
          <w:p>
            <w:r>
              <w:rPr>
                <w:rFonts w:ascii="Calibri" w:hAnsi="Calibri"/>
                <w:b w:val="0"/>
                <w:i w:val="0"/>
                <w:sz w:val="20"/>
              </w:rPr>
              <w:t>No responder en 2 días hábiles o rechazar sin razón válida.</w:t>
            </w:r>
          </w:p>
        </w:tc>
      </w:tr>
      <w:tr>
        <w:tc>
          <w:tcPr>
            <w:tcW w:type="dxa" w:w="3402"/>
            <w:shd w:fill="EBF3FB" w:val="clear"/>
          </w:tcPr>
          <w:p>
            <w:r>
              <w:rPr>
                <w:rFonts w:ascii="Calibri" w:hAnsi="Calibri"/>
                <w:b w:val="0"/>
                <w:i w:val="0"/>
                <w:sz w:val="20"/>
              </w:rPr>
              <w:t>Respuesta tardía a solicitudes de derechos</w:t>
            </w:r>
          </w:p>
        </w:tc>
        <w:tc>
          <w:tcPr>
            <w:tcW w:type="dxa" w:w="1417"/>
            <w:shd w:fill="EBF3FB" w:val="clear"/>
          </w:tcPr>
          <w:p>
            <w:r>
              <w:rPr>
                <w:rFonts w:ascii="Calibri" w:hAnsi="Calibri"/>
                <w:b w:val="0"/>
                <w:i w:val="0"/>
                <w:sz w:val="20"/>
              </w:rPr>
              <w:t>GRAVE</w:t>
            </w:r>
          </w:p>
        </w:tc>
        <w:tc>
          <w:tcPr>
            <w:tcW w:type="dxa" w:w="5102"/>
            <w:shd w:fill="EBF3FB" w:val="clear"/>
          </w:tcPr>
          <w:p>
            <w:r>
              <w:rPr>
                <w:rFonts w:ascii="Calibri" w:hAnsi="Calibri"/>
                <w:b w:val="0"/>
                <w:i w:val="0"/>
                <w:sz w:val="20"/>
              </w:rPr>
              <w:t>Pasar los 30 (+30) días sin responder.</w:t>
            </w:r>
          </w:p>
        </w:tc>
      </w:tr>
      <w:tr>
        <w:tc>
          <w:tcPr>
            <w:tcW w:type="dxa" w:w="3402"/>
          </w:tcPr>
          <w:p>
            <w:r>
              <w:rPr>
                <w:rFonts w:ascii="Calibri" w:hAnsi="Calibri"/>
                <w:b w:val="0"/>
                <w:i w:val="0"/>
                <w:sz w:val="20"/>
              </w:rPr>
              <w:t>Supresión de datos cuando no procede</w:t>
            </w:r>
          </w:p>
        </w:tc>
        <w:tc>
          <w:tcPr>
            <w:tcW w:type="dxa" w:w="1417"/>
          </w:tcPr>
          <w:p>
            <w:r>
              <w:rPr>
                <w:rFonts w:ascii="Calibri" w:hAnsi="Calibri"/>
                <w:b w:val="0"/>
                <w:i w:val="0"/>
                <w:sz w:val="20"/>
              </w:rPr>
              <w:t>GRAVE</w:t>
            </w:r>
          </w:p>
        </w:tc>
        <w:tc>
          <w:tcPr>
            <w:tcW w:type="dxa" w:w="5102"/>
          </w:tcPr>
          <w:p>
            <w:r>
              <w:rPr>
                <w:rFonts w:ascii="Calibri" w:hAnsi="Calibri"/>
                <w:b w:val="0"/>
                <w:i w:val="0"/>
                <w:sz w:val="20"/>
              </w:rPr>
              <w:t>Eliminar datos que debían conservarse por obligación legal o defensa judicial.</w:t>
            </w:r>
          </w:p>
        </w:tc>
      </w:tr>
      <w:tr>
        <w:tc>
          <w:tcPr>
            <w:tcW w:type="dxa" w:w="3402"/>
            <w:shd w:fill="EBF3FB" w:val="clear"/>
          </w:tcPr>
          <w:p>
            <w:r>
              <w:rPr>
                <w:rFonts w:ascii="Calibri" w:hAnsi="Calibri"/>
                <w:b w:val="0"/>
                <w:i w:val="0"/>
                <w:sz w:val="20"/>
              </w:rPr>
              <w:t>Incumplimiento del principio de calidad</w:t>
            </w:r>
          </w:p>
        </w:tc>
        <w:tc>
          <w:tcPr>
            <w:tcW w:type="dxa" w:w="1417"/>
            <w:shd w:fill="EBF3FB" w:val="clear"/>
          </w:tcPr>
          <w:p>
            <w:r>
              <w:rPr>
                <w:rFonts w:ascii="Calibri" w:hAnsi="Calibri"/>
                <w:b w:val="0"/>
                <w:i w:val="0"/>
                <w:sz w:val="20"/>
              </w:rPr>
              <w:t>Variable</w:t>
            </w:r>
          </w:p>
        </w:tc>
        <w:tc>
          <w:tcPr>
            <w:tcW w:type="dxa" w:w="5102"/>
            <w:shd w:fill="EBF3FB" w:val="clear"/>
          </w:tcPr>
          <w:p>
            <w:r>
              <w:rPr>
                <w:rFonts w:ascii="Calibri" w:hAnsi="Calibri"/>
                <w:b w:val="0"/>
                <w:i w:val="0"/>
                <w:sz w:val="20"/>
              </w:rPr>
              <w:t>No rectificar datos inexactos proactivamente.</w:t>
            </w:r>
          </w:p>
        </w:tc>
      </w:tr>
      <w:tr>
        <w:tc>
          <w:tcPr>
            <w:tcW w:type="dxa" w:w="3402"/>
          </w:tcPr>
          <w:p>
            <w:r>
              <w:rPr>
                <w:rFonts w:ascii="Calibri" w:hAnsi="Calibri"/>
                <w:b w:val="0"/>
                <w:i w:val="0"/>
                <w:sz w:val="20"/>
              </w:rPr>
              <w:t>No notificar rectificación a terceros</w:t>
            </w:r>
          </w:p>
        </w:tc>
        <w:tc>
          <w:tcPr>
            <w:tcW w:type="dxa" w:w="1417"/>
          </w:tcPr>
          <w:p>
            <w:r>
              <w:rPr>
                <w:rFonts w:ascii="Calibri" w:hAnsi="Calibri"/>
                <w:b w:val="0"/>
                <w:i w:val="0"/>
                <w:sz w:val="20"/>
              </w:rPr>
              <w:t>Variable</w:t>
            </w:r>
          </w:p>
        </w:tc>
        <w:tc>
          <w:tcPr>
            <w:tcW w:type="dxa" w:w="5102"/>
          </w:tcPr>
          <w:p>
            <w:r>
              <w:rPr>
                <w:rFonts w:ascii="Calibri" w:hAnsi="Calibri"/>
                <w:b w:val="0"/>
                <w:i w:val="0"/>
                <w:sz w:val="20"/>
              </w:rPr>
              <w:t>Corregir el dato propio pero no avisar a quienes se cedió.</w:t>
            </w:r>
          </w:p>
        </w:tc>
      </w:tr>
    </w:tbl>
    <w:p/>
    <w:p>
      <w:pPr>
        <w:spacing w:before="160" w:after="40"/>
      </w:pPr>
      <w:r>
        <w:rPr>
          <w:rFonts w:ascii="Calibri" w:hAnsi="Calibri"/>
          <w:b/>
          <w:i w:val="0"/>
          <w:color w:val="0070C0"/>
          <w:sz w:val="22"/>
        </w:rPr>
        <w:t>7.2  Tipos de sanciones</w:t>
      </w:r>
    </w:p>
    <w:tbl>
      <w:tblPr>
        <w:tblStyle w:val="TableGrid"/>
        <w:tblW w:type="auto" w:w="0"/>
        <w:jc w:val="center"/>
        <w:tblLook w:firstColumn="1" w:firstRow="1" w:lastColumn="0" w:lastRow="0" w:noHBand="0" w:noVBand="1" w:val="04A0"/>
      </w:tblPr>
      <w:tblGrid>
        <w:gridCol w:w="4703"/>
        <w:gridCol w:w="4703"/>
      </w:tblGrid>
      <w:tr>
        <w:tc>
          <w:tcPr>
            <w:tcW w:type="dxa" w:w="2835"/>
            <w:shd w:fill="003F7F" w:val="clear"/>
          </w:tcPr>
          <w:p>
            <w:r>
              <w:rPr>
                <w:rFonts w:ascii="Calibri" w:hAnsi="Calibri"/>
                <w:b/>
                <w:i w:val="0"/>
                <w:color w:val="FFFFFF"/>
                <w:sz w:val="20"/>
              </w:rPr>
              <w:t>Sanción</w:t>
            </w:r>
          </w:p>
        </w:tc>
        <w:tc>
          <w:tcPr>
            <w:tcW w:type="dxa" w:w="7087"/>
            <w:shd w:fill="003F7F" w:val="clear"/>
          </w:tcPr>
          <w:p>
            <w:r>
              <w:rPr>
                <w:rFonts w:ascii="Calibri" w:hAnsi="Calibri"/>
                <w:b/>
                <w:i w:val="0"/>
                <w:color w:val="FFFFFF"/>
                <w:sz w:val="20"/>
              </w:rPr>
              <w:t>Descripción</w:t>
            </w:r>
          </w:p>
        </w:tc>
      </w:tr>
      <w:tr>
        <w:tc>
          <w:tcPr>
            <w:tcW w:type="dxa" w:w="2835"/>
          </w:tcPr>
          <w:p>
            <w:r>
              <w:rPr>
                <w:rFonts w:ascii="Calibri" w:hAnsi="Calibri"/>
                <w:b w:val="0"/>
                <w:i w:val="0"/>
                <w:sz w:val="20"/>
              </w:rPr>
              <w:t>Advertencia</w:t>
            </w:r>
          </w:p>
        </w:tc>
        <w:tc>
          <w:tcPr>
            <w:tcW w:type="dxa" w:w="7087"/>
          </w:tcPr>
          <w:p>
            <w:r>
              <w:rPr>
                <w:rFonts w:ascii="Calibri" w:hAnsi="Calibri"/>
                <w:b w:val="0"/>
                <w:i w:val="0"/>
                <w:sz w:val="20"/>
              </w:rPr>
              <w:t>Notificación formal sobre la infracción cometida + plazo para rectificar. Aplicable especialmente a PYMES en período de transición.</w:t>
            </w:r>
          </w:p>
        </w:tc>
      </w:tr>
      <w:tr>
        <w:tc>
          <w:tcPr>
            <w:tcW w:type="dxa" w:w="2835"/>
            <w:shd w:fill="EBF3FB" w:val="clear"/>
          </w:tcPr>
          <w:p>
            <w:r>
              <w:rPr>
                <w:rFonts w:ascii="Calibri" w:hAnsi="Calibri"/>
                <w:b w:val="0"/>
                <w:i w:val="0"/>
                <w:sz w:val="20"/>
              </w:rPr>
              <w:t>Multa</w:t>
            </w:r>
          </w:p>
        </w:tc>
        <w:tc>
          <w:tcPr>
            <w:tcW w:type="dxa" w:w="7087"/>
            <w:shd w:fill="EBF3FB" w:val="clear"/>
          </w:tcPr>
          <w:p>
            <w:r>
              <w:rPr>
                <w:rFonts w:ascii="Calibri" w:hAnsi="Calibri"/>
                <w:b w:val="0"/>
                <w:i w:val="0"/>
                <w:sz w:val="20"/>
              </w:rPr>
              <w:t>A discreción de la Agencia según gravedad e impacto. La ley fija montos máximos; la multa puede ser muy inferior.</w:t>
            </w:r>
          </w:p>
        </w:tc>
      </w:tr>
      <w:tr>
        <w:tc>
          <w:tcPr>
            <w:tcW w:type="dxa" w:w="2835"/>
          </w:tcPr>
          <w:p>
            <w:r>
              <w:rPr>
                <w:rFonts w:ascii="Calibri" w:hAnsi="Calibri"/>
                <w:b w:val="0"/>
                <w:i w:val="0"/>
                <w:sz w:val="20"/>
              </w:rPr>
              <w:t>Publicación en el Registro Nacional de Sanciones (Art. 39)</w:t>
            </w:r>
          </w:p>
        </w:tc>
        <w:tc>
          <w:tcPr>
            <w:tcW w:type="dxa" w:w="7087"/>
          </w:tcPr>
          <w:p>
            <w:r>
              <w:rPr>
                <w:rFonts w:ascii="Calibri" w:hAnsi="Calibri"/>
                <w:b w:val="0"/>
                <w:i w:val="0"/>
                <w:sz w:val="20"/>
              </w:rPr>
              <w:t>La Agencia puede publicar la resolución con el nombre del responsable sancionado. RIESGO REPUTACIONAL significativo y permanente.</w:t>
            </w:r>
          </w:p>
        </w:tc>
      </w:tr>
    </w:tbl>
    <w:p/>
    <w:p>
      <w:pPr>
        <w:spacing w:before="160" w:after="40"/>
      </w:pPr>
      <w:r>
        <w:rPr>
          <w:rFonts w:ascii="Calibri" w:hAnsi="Calibri"/>
          <w:b/>
          <w:i w:val="0"/>
          <w:color w:val="0070C0"/>
          <w:sz w:val="22"/>
        </w:rPr>
        <w:t>7.3  Excepción para PYMES</w:t>
      </w:r>
    </w:p>
    <w:p>
      <w:pPr>
        <w:ind w:left="283"/>
      </w:pPr>
      <w:r>
        <w:rPr>
          <w:rFonts w:ascii="Calibri" w:hAnsi="Calibri"/>
          <w:b w:val="0"/>
          <w:i w:val="0"/>
          <w:sz w:val="22"/>
        </w:rPr>
        <w:t>Las pequeñas empresas (según definición legal) tienen un plazo adicional de 12 meses en el régimen sancionatorio: hasta diciembre de 2027 (en vez de diciembre de 2026). Durante ese período la Agencia puede emitir advertencias en lugar de multas. IMPORTANTE: esto NO significa que la ley no aplique — solo que la sanción inicial puede ser más suave.</w:t>
      </w:r>
    </w:p>
    <w:p>
      <w:pPr>
        <w:spacing w:before="60" w:after="100"/>
        <w:ind w:left="283"/>
      </w:pPr>
      <w:r>
        <w:rPr>
          <w:rFonts w:ascii="Calibri" w:hAnsi="Calibri"/>
          <w:b w:val="0"/>
          <w:i/>
          <w:color w:val="8C0000"/>
          <w:sz w:val="20"/>
        </w:rPr>
        <w:t>⚠  El Registro Nacional de Sanciones es público y permanente. Que el nombre de una organización aparezca en ese registro representa un daño reputacional grave. Vale más cumplir que corregir después.</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8. MAPA MENTAL — MÓDULO 3 PARTE 2</w:t>
      </w:r>
    </w:p>
    <w:p>
      <w:pPr>
        <w:spacing w:before="100" w:after="40"/>
        <w:ind w:left="0"/>
      </w:pPr>
      <w:r>
        <w:rPr>
          <w:rFonts w:ascii="Calibri" w:hAnsi="Calibri"/>
          <w:b/>
          <w:i w:val="0"/>
          <w:color w:val="00467F"/>
          <w:sz w:val="26"/>
        </w:rPr>
        <w:t>●  LEY 21.719 — MÓDULO 3 PARTE 2: PORTABILIDAD, BLOQUEO, AUTOMATIZACIÓN Y PROCEDIMIENTO</w:t>
      </w:r>
    </w:p>
    <w:p>
      <w:pPr>
        <w:spacing w:before="100" w:after="40"/>
        <w:ind w:left="425"/>
      </w:pPr>
      <w:r>
        <w:rPr>
          <w:rFonts w:ascii="Calibri" w:hAnsi="Calibri"/>
          <w:b/>
          <w:i w:val="0"/>
          <w:color w:val="0070C0"/>
          <w:sz w:val="24"/>
        </w:rPr>
        <w:t>▸  PORTABILIDAD (Art. 9)</w:t>
      </w:r>
    </w:p>
    <w:p>
      <w:pPr>
        <w:spacing w:before="40" w:after="40"/>
        <w:ind w:left="850"/>
      </w:pPr>
      <w:r>
        <w:rPr>
          <w:rFonts w:ascii="Calibri" w:hAnsi="Calibri"/>
          <w:b/>
          <w:i w:val="0"/>
          <w:color w:val="468246"/>
          <w:sz w:val="22"/>
        </w:rPr>
        <w:t>–  Formato: electrónico + estructurado + genérico + uso común (CSV, JSON, XML…)</w:t>
      </w:r>
    </w:p>
    <w:p>
      <w:pPr>
        <w:spacing w:before="40" w:after="40"/>
        <w:ind w:left="850"/>
      </w:pPr>
      <w:r>
        <w:rPr>
          <w:rFonts w:ascii="Calibri" w:hAnsi="Calibri"/>
          <w:b/>
          <w:i w:val="0"/>
          <w:color w:val="468246"/>
          <w:sz w:val="22"/>
        </w:rPr>
        <w:t>–  Solo aplica si base de licitud = CONSENTIMIENTO</w:t>
      </w:r>
    </w:p>
    <w:p>
      <w:pPr>
        <w:spacing w:before="40" w:after="40"/>
        <w:ind w:left="850"/>
      </w:pPr>
      <w:r>
        <w:rPr>
          <w:rFonts w:ascii="Calibri" w:hAnsi="Calibri"/>
          <w:b/>
          <w:i w:val="0"/>
          <w:color w:val="468246"/>
          <w:sz w:val="22"/>
        </w:rPr>
        <w:t>–  NO aplica si base = contrato o interés legítimo</w:t>
      </w:r>
    </w:p>
    <w:p>
      <w:pPr>
        <w:spacing w:before="40" w:after="40"/>
        <w:ind w:left="850"/>
      </w:pPr>
      <w:r>
        <w:rPr>
          <w:rFonts w:ascii="Calibri" w:hAnsi="Calibri"/>
          <w:b/>
          <w:i w:val="0"/>
          <w:color w:val="468246"/>
          <w:sz w:val="22"/>
        </w:rPr>
        <w:t>–  Transferencia directa entre responsables si es técnicamente posible</w:t>
      </w:r>
    </w:p>
    <w:p>
      <w:pPr>
        <w:spacing w:before="40" w:after="40"/>
        <w:ind w:left="850"/>
      </w:pPr>
      <w:r>
        <w:rPr>
          <w:rFonts w:ascii="Calibri" w:hAnsi="Calibri"/>
          <w:b/>
          <w:i w:val="0"/>
          <w:color w:val="468246"/>
          <w:sz w:val="22"/>
        </w:rPr>
        <w:t>–  Gratuito 1 vez/trimestre — más veces: cobro de costos directos</w:t>
      </w:r>
    </w:p>
    <w:p>
      <w:pPr>
        <w:spacing w:before="100" w:after="40"/>
        <w:ind w:left="425"/>
      </w:pPr>
      <w:r>
        <w:rPr>
          <w:rFonts w:ascii="Calibri" w:hAnsi="Calibri"/>
          <w:b/>
          <w:i w:val="0"/>
          <w:color w:val="0070C0"/>
          <w:sz w:val="24"/>
        </w:rPr>
        <w:t>▸  BLOQUEO TEMPORAL (Art. 8T)  ← PLAZO MÁS CORTO: 2 días hábiles</w:t>
      </w:r>
    </w:p>
    <w:p>
      <w:pPr>
        <w:spacing w:before="40" w:after="40"/>
        <w:ind w:left="850"/>
      </w:pPr>
      <w:r>
        <w:rPr>
          <w:rFonts w:ascii="Calibri" w:hAnsi="Calibri"/>
          <w:b/>
          <w:i w:val="0"/>
          <w:color w:val="468246"/>
          <w:sz w:val="22"/>
        </w:rPr>
        <w:t>–  Causal: solicitud de rectificación / supresión / oposición pendiente</w:t>
      </w:r>
    </w:p>
    <w:p>
      <w:pPr>
        <w:spacing w:before="40" w:after="40"/>
        <w:ind w:left="850"/>
      </w:pPr>
      <w:r>
        <w:rPr>
          <w:rFonts w:ascii="Calibri" w:hAnsi="Calibri"/>
          <w:b/>
          <w:i w:val="0"/>
          <w:color w:val="468246"/>
          <w:sz w:val="22"/>
        </w:rPr>
        <w:t>–  Efecto: suspende tratamiento (comunicación, análisis, cesión…)</w:t>
      </w:r>
    </w:p>
    <w:p>
      <w:pPr>
        <w:spacing w:before="40" w:after="40"/>
        <w:ind w:left="850"/>
      </w:pPr>
      <w:r>
        <w:rPr>
          <w:rFonts w:ascii="Calibri" w:hAnsi="Calibri"/>
          <w:b/>
          <w:i w:val="0"/>
          <w:color w:val="468246"/>
          <w:sz w:val="22"/>
        </w:rPr>
        <w:t>–  No afecta el almacenamiento</w:t>
      </w:r>
    </w:p>
    <w:p>
      <w:pPr>
        <w:spacing w:before="40" w:after="40"/>
        <w:ind w:left="850"/>
      </w:pPr>
      <w:r>
        <w:rPr>
          <w:rFonts w:ascii="Calibri" w:hAnsi="Calibri"/>
          <w:b/>
          <w:i w:val="0"/>
          <w:color w:val="468246"/>
          <w:sz w:val="22"/>
        </w:rPr>
        <w:t>–  Solicitud: escrita/electrónica — NO verbal</w:t>
      </w:r>
    </w:p>
    <w:p>
      <w:pPr>
        <w:spacing w:before="40" w:after="40"/>
        <w:ind w:left="850"/>
      </w:pPr>
      <w:r>
        <w:rPr>
          <w:rFonts w:ascii="Calibri" w:hAnsi="Calibri"/>
          <w:b/>
          <w:i w:val="0"/>
          <w:color w:val="468246"/>
          <w:sz w:val="22"/>
        </w:rPr>
        <w:t>–  No respuesta = INFRACCIÓN GRAVE</w:t>
      </w:r>
    </w:p>
    <w:p>
      <w:pPr>
        <w:spacing w:before="40" w:after="40"/>
        <w:ind w:left="850"/>
      </w:pPr>
      <w:r>
        <w:rPr>
          <w:rFonts w:ascii="Calibri" w:hAnsi="Calibri"/>
          <w:b/>
          <w:i w:val="0"/>
          <w:color w:val="468246"/>
          <w:sz w:val="22"/>
        </w:rPr>
        <w:t>–  Si se rechaza: justificar e informar derecho a reclamar</w:t>
      </w:r>
    </w:p>
    <w:p>
      <w:pPr>
        <w:spacing w:before="100" w:after="40"/>
        <w:ind w:left="425"/>
      </w:pPr>
      <w:r>
        <w:rPr>
          <w:rFonts w:ascii="Calibri" w:hAnsi="Calibri"/>
          <w:b/>
          <w:i w:val="0"/>
          <w:color w:val="0070C0"/>
          <w:sz w:val="24"/>
        </w:rPr>
        <w:t>▸  DECISIONES AUTOMATIZADAS Y PERFILAMIENTO (Art. 8)</w:t>
      </w:r>
    </w:p>
    <w:p>
      <w:pPr>
        <w:spacing w:before="40" w:after="40"/>
        <w:ind w:left="850"/>
      </w:pPr>
      <w:r>
        <w:rPr>
          <w:rFonts w:ascii="Calibri" w:hAnsi="Calibri"/>
          <w:b/>
          <w:i w:val="0"/>
          <w:color w:val="468246"/>
          <w:sz w:val="22"/>
        </w:rPr>
        <w:t>–  Derecho a oponerse a decisiones con efectos jurídicos o significativos</w:t>
      </w:r>
    </w:p>
    <w:p>
      <w:pPr>
        <w:spacing w:before="40" w:after="40"/>
        <w:ind w:left="850"/>
      </w:pPr>
      <w:r>
        <w:rPr>
          <w:rFonts w:ascii="Calibri" w:hAnsi="Calibri"/>
          <w:b/>
          <w:i w:val="0"/>
          <w:color w:val="468246"/>
          <w:sz w:val="22"/>
        </w:rPr>
        <w:t>–  Perfilamiento: evaluar/predecir rendimiento, salud, preferencias, ubicación, etc.</w:t>
      </w:r>
    </w:p>
    <w:p>
      <w:pPr>
        <w:spacing w:before="40" w:after="40"/>
        <w:ind w:left="850"/>
      </w:pPr>
      <w:r>
        <w:rPr>
          <w:rFonts w:ascii="Calibri" w:hAnsi="Calibri"/>
          <w:b/>
          <w:i w:val="0"/>
          <w:color w:val="468246"/>
          <w:sz w:val="22"/>
        </w:rPr>
        <w:t>–  Excepciones: ejecución de contrato o consentimiento expreso</w:t>
      </w:r>
    </w:p>
    <w:p>
      <w:pPr>
        <w:spacing w:before="40" w:after="40"/>
        <w:ind w:left="850"/>
      </w:pPr>
      <w:r>
        <w:rPr>
          <w:rFonts w:ascii="Calibri" w:hAnsi="Calibri"/>
          <w:b/>
          <w:i w:val="0"/>
          <w:color w:val="468246"/>
          <w:sz w:val="22"/>
        </w:rPr>
        <w:t>–  Salvaguardas: información + explicación lógica + intervención humana + expresar punto de vista</w:t>
      </w:r>
    </w:p>
    <w:p>
      <w:pPr>
        <w:spacing w:before="100" w:after="40"/>
        <w:ind w:left="425"/>
      </w:pPr>
      <w:r>
        <w:rPr>
          <w:rFonts w:ascii="Calibri" w:hAnsi="Calibri"/>
          <w:b/>
          <w:i w:val="0"/>
          <w:color w:val="0070C0"/>
          <w:sz w:val="24"/>
        </w:rPr>
        <w:t>▸  PROCEDIMIENTO (Art. 11)</w:t>
      </w:r>
    </w:p>
    <w:p>
      <w:pPr>
        <w:spacing w:before="40" w:after="40"/>
        <w:ind w:left="850"/>
      </w:pPr>
      <w:r>
        <w:rPr>
          <w:rFonts w:ascii="Calibri" w:hAnsi="Calibri"/>
          <w:b/>
          <w:i w:val="0"/>
          <w:color w:val="468246"/>
          <w:sz w:val="22"/>
        </w:rPr>
        <w:t>–  Solicitud: identificación + contacto + datos afectados + detalle por derecho</w:t>
      </w:r>
    </w:p>
    <w:p>
      <w:pPr>
        <w:spacing w:before="40" w:after="40"/>
        <w:ind w:left="850"/>
      </w:pPr>
      <w:r>
        <w:rPr>
          <w:rFonts w:ascii="Calibri" w:hAnsi="Calibri"/>
          <w:b/>
          <w:i w:val="0"/>
          <w:color w:val="468246"/>
          <w:sz w:val="22"/>
        </w:rPr>
        <w:t>–  Plazos responsable: 30 días corridos + 30 prórroga (máx. 60)</w:t>
      </w:r>
    </w:p>
    <w:p>
      <w:pPr>
        <w:spacing w:before="40" w:after="40"/>
        <w:ind w:left="850"/>
      </w:pPr>
      <w:r>
        <w:rPr>
          <w:rFonts w:ascii="Calibri" w:hAnsi="Calibri"/>
          <w:b/>
          <w:i w:val="0"/>
          <w:color w:val="468246"/>
          <w:sz w:val="22"/>
        </w:rPr>
        <w:t>–  Bloqueo: 2 días HÁBILES</w:t>
      </w:r>
    </w:p>
    <w:p>
      <w:pPr>
        <w:spacing w:before="40" w:after="40"/>
        <w:ind w:left="850"/>
      </w:pPr>
      <w:r>
        <w:rPr>
          <w:rFonts w:ascii="Calibri" w:hAnsi="Calibri"/>
          <w:b/>
          <w:i w:val="0"/>
          <w:color w:val="468246"/>
          <w:sz w:val="22"/>
        </w:rPr>
        <w:t>–  Acceso y portabilidad: gratuito 1 vez/trimestre</w:t>
      </w:r>
    </w:p>
    <w:p>
      <w:pPr>
        <w:spacing w:before="40" w:after="40"/>
        <w:ind w:left="850"/>
      </w:pPr>
      <w:r>
        <w:rPr>
          <w:rFonts w:ascii="Calibri" w:hAnsi="Calibri"/>
          <w:b/>
          <w:i w:val="0"/>
          <w:color w:val="468246"/>
          <w:sz w:val="22"/>
        </w:rPr>
        <w:t>–  Carga de la prueba en el RESPONSABLE (accountability)</w:t>
      </w:r>
    </w:p>
    <w:p>
      <w:pPr>
        <w:spacing w:before="40" w:after="40"/>
        <w:ind w:left="850"/>
      </w:pPr>
      <w:r>
        <w:rPr>
          <w:rFonts w:ascii="Calibri" w:hAnsi="Calibri"/>
          <w:b/>
          <w:i w:val="0"/>
          <w:color w:val="468246"/>
          <w:sz w:val="22"/>
        </w:rPr>
        <w:t>–  Denegación: fundamentar + informar derecho a reclamar</w:t>
      </w:r>
    </w:p>
    <w:p>
      <w:pPr>
        <w:spacing w:before="100" w:after="40"/>
        <w:ind w:left="425"/>
      </w:pPr>
      <w:r>
        <w:rPr>
          <w:rFonts w:ascii="Calibri" w:hAnsi="Calibri"/>
          <w:b/>
          <w:i w:val="0"/>
          <w:color w:val="0070C0"/>
          <w:sz w:val="24"/>
        </w:rPr>
        <w:t>▸  RECLAMACIONES ANTE LA AGENCIA (Art. 41)</w:t>
      </w:r>
    </w:p>
    <w:p>
      <w:pPr>
        <w:spacing w:before="40" w:after="40"/>
        <w:ind w:left="850"/>
      </w:pPr>
      <w:r>
        <w:rPr>
          <w:rFonts w:ascii="Calibri" w:hAnsi="Calibri"/>
          <w:b/>
          <w:i w:val="0"/>
          <w:color w:val="468246"/>
          <w:sz w:val="22"/>
        </w:rPr>
        <w:t>–  Plazo titular: 30 días HÁBILES desde denegación o silencio</w:t>
      </w:r>
    </w:p>
    <w:p>
      <w:pPr>
        <w:spacing w:before="40" w:after="40"/>
        <w:ind w:left="850"/>
      </w:pPr>
      <w:r>
        <w:rPr>
          <w:rFonts w:ascii="Calibri" w:hAnsi="Calibri"/>
          <w:b/>
          <w:i w:val="0"/>
          <w:color w:val="468246"/>
          <w:sz w:val="22"/>
        </w:rPr>
        <w:t>–  Flujo: solicitud → denegación/silencio → reclamo → instrucción → resolución</w:t>
      </w:r>
    </w:p>
    <w:p>
      <w:pPr>
        <w:spacing w:before="100" w:after="40"/>
        <w:ind w:left="425"/>
      </w:pPr>
      <w:r>
        <w:rPr>
          <w:rFonts w:ascii="Calibri" w:hAnsi="Calibri"/>
          <w:b/>
          <w:i w:val="0"/>
          <w:color w:val="0070C0"/>
          <w:sz w:val="24"/>
        </w:rPr>
        <w:t>▸  INFRACCIONES Y SANCIONES</w:t>
      </w:r>
    </w:p>
    <w:p>
      <w:pPr>
        <w:spacing w:before="40" w:after="40"/>
        <w:ind w:left="850"/>
      </w:pPr>
      <w:r>
        <w:rPr>
          <w:rFonts w:ascii="Calibri" w:hAnsi="Calibri"/>
          <w:b/>
          <w:i w:val="0"/>
          <w:color w:val="468246"/>
          <w:sz w:val="22"/>
        </w:rPr>
        <w:t>–  Grave: bloqueo no atendido / respuesta tardía / supresión indebida</w:t>
      </w:r>
    </w:p>
    <w:p>
      <w:pPr>
        <w:spacing w:before="40" w:after="40"/>
        <w:ind w:left="850"/>
      </w:pPr>
      <w:r>
        <w:rPr>
          <w:rFonts w:ascii="Calibri" w:hAnsi="Calibri"/>
          <w:b/>
          <w:i w:val="0"/>
          <w:color w:val="468246"/>
          <w:sz w:val="22"/>
        </w:rPr>
        <w:t>–  Sanciones: advertencia / multa / publicación en Registro Nacional (Art. 39)</w:t>
      </w:r>
    </w:p>
    <w:p>
      <w:pPr>
        <w:spacing w:before="40" w:after="40"/>
        <w:ind w:left="850"/>
      </w:pPr>
      <w:r>
        <w:rPr>
          <w:rFonts w:ascii="Calibri" w:hAnsi="Calibri"/>
          <w:b/>
          <w:i w:val="0"/>
          <w:color w:val="468246"/>
          <w:sz w:val="22"/>
        </w:rPr>
        <w:t>–  PYMES: 12 meses adicionales (hasta dic. 2027) — solo para sanciones, ley igual aplica</w:t>
      </w:r>
    </w:p>
    <w:p>
      <w:pPr>
        <w:spacing w:before="100" w:after="40"/>
        <w:ind w:left="425"/>
      </w:pPr>
      <w:r>
        <w:rPr>
          <w:rFonts w:ascii="Calibri" w:hAnsi="Calibri"/>
          <w:b/>
          <w:i w:val="0"/>
          <w:color w:val="0070C0"/>
          <w:sz w:val="24"/>
        </w:rPr>
        <w:t>▸  CAMBIO CULTURAL REQUERIDO</w:t>
      </w:r>
    </w:p>
    <w:p>
      <w:pPr>
        <w:spacing w:before="40" w:after="40"/>
        <w:ind w:left="850"/>
      </w:pPr>
      <w:r>
        <w:rPr>
          <w:rFonts w:ascii="Calibri" w:hAnsi="Calibri"/>
          <w:b/>
          <w:i w:val="0"/>
          <w:color w:val="468246"/>
          <w:sz w:val="22"/>
        </w:rPr>
        <w:t>–  Transparencia activa: política de privacidad accesible, clara y completa</w:t>
      </w:r>
    </w:p>
    <w:p>
      <w:pPr>
        <w:spacing w:before="40" w:after="40"/>
        <w:ind w:left="850"/>
      </w:pPr>
      <w:r>
        <w:rPr>
          <w:rFonts w:ascii="Calibri" w:hAnsi="Calibri"/>
          <w:b/>
          <w:i w:val="0"/>
          <w:color w:val="468246"/>
          <w:sz w:val="22"/>
        </w:rPr>
        <w:t>–  Datos no son eternos: hay que establecer plazos de conservación por actividad</w:t>
      </w:r>
    </w:p>
    <w:p>
      <w:pPr>
        <w:spacing w:before="40" w:after="40"/>
        <w:ind w:left="850"/>
      </w:pPr>
      <w:r>
        <w:rPr>
          <w:rFonts w:ascii="Calibri" w:hAnsi="Calibri"/>
          <w:b/>
          <w:i w:val="0"/>
          <w:color w:val="468246"/>
          <w:sz w:val="22"/>
        </w:rPr>
        <w:t>–  Suprimir datos sin razón legal = infracción (antes era práctica normal en IT)</w:t>
      </w:r>
    </w:p>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9. FRASES Y CONCEPTOS CLAVE PARA TU CONVERSACIÓN</w:t>
      </w:r>
    </w:p>
    <w:p>
      <w:pPr>
        <w:spacing w:before="160" w:after="40"/>
      </w:pPr>
      <w:r>
        <w:rPr>
          <w:rFonts w:ascii="Calibri" w:hAnsi="Calibri"/>
          <w:b/>
          <w:i w:val="0"/>
          <w:color w:val="00467F"/>
          <w:sz w:val="22"/>
        </w:rPr>
        <w:t>▸  Portabilidad solo aplica con consentimiento</w:t>
      </w:r>
    </w:p>
    <w:p>
      <w:pPr>
        <w:spacing w:after="80"/>
        <w:ind w:left="454"/>
      </w:pPr>
      <w:r>
        <w:rPr>
          <w:rFonts w:ascii="Calibri" w:hAnsi="Calibri"/>
          <w:b w:val="0"/>
          <w:i w:val="0"/>
          <w:color w:val="3C3C3C"/>
          <w:sz w:val="20"/>
        </w:rPr>
        <w:t>Si el tratamiento está basado en contrato o interés legítimo, el responsable puede negarse a la portabilidad. Como la mayoría de los tratamientos empresariales no son por consentimiento puro, la portabilidad tendrá un alcance más acotado de lo que parece.</w:t>
      </w:r>
    </w:p>
    <w:p>
      <w:pPr>
        <w:spacing w:before="160" w:after="40"/>
      </w:pPr>
      <w:r>
        <w:rPr>
          <w:rFonts w:ascii="Calibri" w:hAnsi="Calibri"/>
          <w:b/>
          <w:i w:val="0"/>
          <w:color w:val="00467F"/>
          <w:sz w:val="22"/>
        </w:rPr>
        <w:t>▸  Bloqueo ≠ supresión — y tiene 2 días hábiles</w:t>
      </w:r>
    </w:p>
    <w:p>
      <w:pPr>
        <w:spacing w:after="80"/>
        <w:ind w:left="454"/>
      </w:pPr>
      <w:r>
        <w:rPr>
          <w:rFonts w:ascii="Calibri" w:hAnsi="Calibri"/>
          <w:b w:val="0"/>
          <w:i w:val="0"/>
          <w:color w:val="3C3C3C"/>
          <w:sz w:val="20"/>
        </w:rPr>
        <w:t>El bloqueo congela el uso del dato; la supresión lo elimina. Son derechos distintos. Y el bloqueo tiene el plazo más corto de todos: 2 días hábiles. Pasarlo constituye infracción GRAVE.</w:t>
      </w:r>
    </w:p>
    <w:p>
      <w:pPr>
        <w:spacing w:before="160" w:after="40"/>
      </w:pPr>
      <w:r>
        <w:rPr>
          <w:rFonts w:ascii="Calibri" w:hAnsi="Calibri"/>
          <w:b/>
          <w:i w:val="0"/>
          <w:color w:val="00467F"/>
          <w:sz w:val="22"/>
        </w:rPr>
        <w:t>▸  Decisiones automatizadas: el algoritmo debe explicarse</w:t>
      </w:r>
    </w:p>
    <w:p>
      <w:pPr>
        <w:spacing w:after="80"/>
        <w:ind w:left="454"/>
      </w:pPr>
      <w:r>
        <w:rPr>
          <w:rFonts w:ascii="Calibri" w:hAnsi="Calibri"/>
          <w:b w:val="0"/>
          <w:i w:val="0"/>
          <w:color w:val="3C3C3C"/>
          <w:sz w:val="20"/>
        </w:rPr>
        <w:t>El titular tiene derecho a conocer la lógica del algoritmo que tomó una decisión sobre él, exigir revisión humana y expresar su punto de vista. Esto aplica a scoring crediticio, selección de personal, perfilamiento publicitario y más.</w:t>
      </w:r>
    </w:p>
    <w:p>
      <w:pPr>
        <w:spacing w:before="160" w:after="40"/>
      </w:pPr>
      <w:r>
        <w:rPr>
          <w:rFonts w:ascii="Calibri" w:hAnsi="Calibri"/>
          <w:b/>
          <w:i w:val="0"/>
          <w:color w:val="00467F"/>
          <w:sz w:val="22"/>
        </w:rPr>
        <w:t>▸  El responsable carga con la prueba del cumplimiento</w:t>
      </w:r>
    </w:p>
    <w:p>
      <w:pPr>
        <w:spacing w:after="80"/>
        <w:ind w:left="454"/>
      </w:pPr>
      <w:r>
        <w:rPr>
          <w:rFonts w:ascii="Calibri" w:hAnsi="Calibri"/>
          <w:b w:val="0"/>
          <w:i w:val="0"/>
          <w:color w:val="3C3C3C"/>
          <w:sz w:val="20"/>
        </w:rPr>
        <w:t>No basta con cumplir: hay que REGISTRAR que se cumplió. Fecha de respuesta, contenido, forma de envío. Si la Agencia fiscaliza, es el responsable quien debe demostrar que respondió en plazo y forma correcta.</w:t>
      </w:r>
    </w:p>
    <w:p>
      <w:pPr>
        <w:spacing w:before="160" w:after="40"/>
      </w:pPr>
      <w:r>
        <w:rPr>
          <w:rFonts w:ascii="Calibri" w:hAnsi="Calibri"/>
          <w:b/>
          <w:i w:val="0"/>
          <w:color w:val="00467F"/>
          <w:sz w:val="22"/>
        </w:rPr>
        <w:t>▸  Reclamar ante la Agencia: 30 días HÁBILES</w:t>
      </w:r>
    </w:p>
    <w:p>
      <w:pPr>
        <w:spacing w:after="80"/>
        <w:ind w:left="454"/>
      </w:pPr>
      <w:r>
        <w:rPr>
          <w:rFonts w:ascii="Calibri" w:hAnsi="Calibri"/>
          <w:b w:val="0"/>
          <w:i w:val="0"/>
          <w:color w:val="3C3C3C"/>
          <w:sz w:val="20"/>
        </w:rPr>
        <w:t>El plazo del titular para reclamar ante la Agencia de Protección de Datos es de 30 días hábiles (no corridos) desde la denegación o el vencimiento del plazo sin respuesta.</w:t>
      </w:r>
    </w:p>
    <w:p>
      <w:pPr>
        <w:spacing w:before="160" w:after="40"/>
      </w:pPr>
      <w:r>
        <w:rPr>
          <w:rFonts w:ascii="Calibri" w:hAnsi="Calibri"/>
          <w:b/>
          <w:i w:val="0"/>
          <w:color w:val="00467F"/>
          <w:sz w:val="22"/>
        </w:rPr>
        <w:t>▸  El Registro Nacional de Sanciones es público</w:t>
      </w:r>
    </w:p>
    <w:p>
      <w:pPr>
        <w:spacing w:after="80"/>
        <w:ind w:left="454"/>
      </w:pPr>
      <w:r>
        <w:rPr>
          <w:rFonts w:ascii="Calibri" w:hAnsi="Calibri"/>
          <w:b w:val="0"/>
          <w:i w:val="0"/>
          <w:color w:val="3C3C3C"/>
          <w:sz w:val="20"/>
        </w:rPr>
        <w:t>La Agencia puede publicar las resoluciones con el nombre del responsable. Aparecer en ese registro tiene un impacto reputacional grave y duradero. Cuesta mucho más recuperar la reputación que cumplir con la ley desde el principio.</w:t>
      </w:r>
    </w:p>
    <w:p>
      <w:pPr>
        <w:spacing w:before="160" w:after="40"/>
      </w:pPr>
      <w:r>
        <w:rPr>
          <w:rFonts w:ascii="Calibri" w:hAnsi="Calibri"/>
          <w:b/>
          <w:i w:val="0"/>
          <w:color w:val="00467F"/>
          <w:sz w:val="22"/>
        </w:rPr>
        <w:t>▸  PYMES: más tiempo, no más permiso</w:t>
      </w:r>
    </w:p>
    <w:p>
      <w:pPr>
        <w:spacing w:after="80"/>
        <w:ind w:left="454"/>
      </w:pPr>
      <w:r>
        <w:rPr>
          <w:rFonts w:ascii="Calibri" w:hAnsi="Calibri"/>
          <w:b w:val="0"/>
          <w:i w:val="0"/>
          <w:color w:val="3C3C3C"/>
          <w:sz w:val="20"/>
        </w:rPr>
        <w:t>Las pequeñas empresas tienen 12 meses adicionales en el régimen sancionatorio (hasta dic. 2027). Pero la ley les aplica igual — solo la sanción inicial puede ser una advertencia en vez de multa.</w:t>
      </w:r>
    </w:p>
    <w:p>
      <w:pPr>
        <w:spacing w:before="160" w:after="40"/>
      </w:pPr>
      <w:r>
        <w:rPr>
          <w:rFonts w:ascii="Calibri" w:hAnsi="Calibri"/>
          <w:b/>
          <w:i w:val="0"/>
          <w:color w:val="00467F"/>
          <w:sz w:val="22"/>
        </w:rPr>
        <w:t>▸  Suprimir sin razón legal ahora es infracción</w:t>
      </w:r>
    </w:p>
    <w:p>
      <w:pPr>
        <w:spacing w:after="80"/>
        <w:ind w:left="454"/>
      </w:pPr>
      <w:r>
        <w:rPr>
          <w:rFonts w:ascii="Calibri" w:hAnsi="Calibri"/>
          <w:b w:val="0"/>
          <w:i w:val="0"/>
          <w:color w:val="3C3C3C"/>
          <w:sz w:val="20"/>
        </w:rPr>
        <w:t>En el mundo IT era normal borrar datos por limpieza o por solicitud del usuario. Desde la Ley 21.719, suprimir datos cuando no procede legalmente (ej.: datos necesarios para defensa judicial) es una infracción grave. Cambio cultural crítico para equipos técnicos.</w:t>
      </w:r>
    </w:p>
    <w:p>
      <w:pPr>
        <w:spacing w:before="160" w:after="40"/>
      </w:pPr>
      <w:r>
        <w:rPr>
          <w:rFonts w:ascii="Calibri" w:hAnsi="Calibri"/>
          <w:b/>
          <w:i w:val="0"/>
          <w:color w:val="00467F"/>
          <w:sz w:val="22"/>
        </w:rPr>
        <w:t>▸  Chile ≈ 80% del RGPD europeo</w:t>
      </w:r>
    </w:p>
    <w:p>
      <w:pPr>
        <w:spacing w:after="80"/>
        <w:ind w:left="454"/>
      </w:pPr>
      <w:r>
        <w:rPr>
          <w:rFonts w:ascii="Calibri" w:hAnsi="Calibri"/>
          <w:b w:val="0"/>
          <w:i w:val="0"/>
          <w:color w:val="3C3C3C"/>
          <w:sz w:val="20"/>
        </w:rPr>
        <w:t>La Ley 21.719 está fuertemente inspirada en el Reglamento General de Protección de Datos de la UE. Las diferencias son puntuales pero importantes (consentimiento como regla general, categorías especiales distintas). Conocer el RGPD da una ventaja enorme para interpretar la ley chilena.</w:t>
      </w:r>
    </w:p>
    <w:p/>
    <w:p>
      <w:pPr>
        <w:jc w:val="center"/>
      </w:pPr>
      <w:r>
        <w:rPr>
          <w:rFonts w:ascii="Calibri" w:hAnsi="Calibri"/>
          <w:b w:val="0"/>
          <w:i w:val="0"/>
          <w:color w:val="969696"/>
          <w:sz w:val="18"/>
        </w:rPr>
        <w:t>Curso Probes  |  Ley 21.719 de Protección de Datos Personales  |  Módulo 3 — Parte 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