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/>
        <w:jc w:val="center"/>
      </w:pPr>
      <w:r>
        <w:rPr>
          <w:rFonts w:ascii="Calibri" w:hAnsi="Calibri"/>
          <w:b/>
          <w:i w:val="0"/>
          <w:color w:val="00467F"/>
          <w:sz w:val="36"/>
        </w:rPr>
        <w:t>LEY 21.719 DE PROTECCIÓN DE DATOS PERSONALES</w:t>
      </w:r>
    </w:p>
    <w:p>
      <w:pPr>
        <w:jc w:val="center"/>
      </w:pPr>
      <w:r>
        <w:rPr>
          <w:rFonts w:ascii="Calibri" w:hAnsi="Calibri"/>
          <w:b w:val="0"/>
          <w:i/>
          <w:color w:val="0070C0"/>
          <w:sz w:val="28"/>
        </w:rPr>
        <w:t>Módulo 4 — Responsabilidad Proactiva y Gobernanza</w:t>
      </w:r>
    </w:p>
    <w:p>
      <w:pPr>
        <w:jc w:val="center"/>
      </w:pPr>
      <w:r>
        <w:rPr>
          <w:rFonts w:ascii="Calibri" w:hAnsi="Calibri"/>
          <w:b w:val="0"/>
          <w:i w:val="0"/>
          <w:color w:val="646464"/>
          <w:sz w:val="20"/>
        </w:rPr>
        <w:t>Instructor: Miguel Ángel Díaz  |  Ley 21.719 vigente desde 1° de diciembre de 2026</w:t>
      </w:r>
    </w:p>
    <w:p/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1. RESUMEN EJECUTIVO</w:t>
      </w:r>
    </w:p>
    <w:p>
      <w:r>
        <w:rPr>
          <w:rFonts w:ascii="Calibri" w:hAnsi="Calibri"/>
          <w:b w:val="0"/>
          <w:i w:val="0"/>
          <w:sz w:val="22"/>
        </w:rPr>
        <w:t>El Módulo 4 aborda las obligaciones de gobernanza que la Ley 21.719 impone a quienes tratan datos personales. El concepto central es el accountability o responsabilidad proactiva: no basta con cumplir la ley, hay que DEMOSTRAR que se cumple.</w:t>
        <w:br/>
        <w:br/>
        <w:t>Se desarrollan cuatro grandes bloques: (1) roles y obligaciones del Responsable y del Encargado (tercero mandatario), incluyendo el contrato obligatorio entre ellos y la cadena de responsabilidad solidaria; (2) el Delegado de Protección de Datos (DPD/DPO), su perfil, autonomía y funciones; (3) privacidad desde el diseño y por defecto como obligación técnica; y (4) la Evaluación de Impacto en Protección de Datos (DPIA/EIPD) como herramienta preventiva ante tratamientos de alto riesgo.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2. ACCOUNTABILITY — RESPONSABILIDAD PROACTIVA</w:t>
      </w:r>
    </w:p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2.1  ¿Qué es el accountability?</w:t>
      </w:r>
    </w:p>
    <w:p>
      <w:r>
        <w:rPr>
          <w:rFonts w:ascii="Calibri" w:hAnsi="Calibri"/>
          <w:b w:val="0"/>
          <w:i w:val="0"/>
          <w:sz w:val="22"/>
        </w:rPr>
        <w:t>Principio que obliga a los responsables del tratamiento no solo a cumplir con la ley, sino también a ser capaces de DEMOSTRAR que la cumplen. Implica transparencia activa y documentación de todas las decisiones de tratamiento.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Elemento</w:t>
            </w:r>
          </w:p>
        </w:tc>
        <w:tc>
          <w:tcPr>
            <w:tcW w:type="dxa" w:w="4252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Descripción</w:t>
            </w:r>
          </w:p>
        </w:tc>
        <w:tc>
          <w:tcPr>
            <w:tcW w:type="dxa" w:w="3402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Implicancia práctica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Acreditar la licitud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El responsable debe demostrar que el tratamiento tiene base legal (Art. 3 principio de licitud y lealtad).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Mantener registros del consentimiento, del contrato o de la norma legal que respalda cada tratamiento.</w:t>
            </w:r>
          </w:p>
        </w:tc>
      </w:tr>
      <w:tr>
        <w:tc>
          <w:tcPr>
            <w:tcW w:type="dxa" w:w="2268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Demostrar cumplimiento de principios</w:t>
            </w:r>
          </w:p>
        </w:tc>
        <w:tc>
          <w:tcPr>
            <w:tcW w:type="dxa" w:w="425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 basta cumplir; hay que tener evidencia de que se cumplen los 8 principios.</w:t>
            </w:r>
          </w:p>
        </w:tc>
        <w:tc>
          <w:tcPr>
            <w:tcW w:type="dxa" w:w="34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Documentar políticas de privacidad, plazos de retención, finalidades declaradas, medidas de seguridad.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Gestionar vulnerabilidades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Es imposible garantizar seguridad total, pero sí demostrar que se tomaron medidas adecuadas.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Las multas consideran qué medidas existían antes de una brecha, no solo el hecho de que ocurrió.</w:t>
            </w:r>
          </w:p>
        </w:tc>
      </w:tr>
      <w:tr>
        <w:tc>
          <w:tcPr>
            <w:tcW w:type="dxa" w:w="2268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Régimen sancionatorio</w:t>
            </w:r>
          </w:p>
        </w:tc>
        <w:tc>
          <w:tcPr>
            <w:tcW w:type="dxa" w:w="425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El incumplimiento se sanciona conforme al Título VII de la ley (infracciones y sanciones).</w:t>
            </w:r>
          </w:p>
        </w:tc>
        <w:tc>
          <w:tcPr>
            <w:tcW w:type="dxa" w:w="34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Ver Módulo 6 para detalle de sanciones.</w:t>
            </w:r>
          </w:p>
        </w:tc>
      </w:tr>
    </w:tbl>
    <w:p/>
    <w:p>
      <w:pPr>
        <w:spacing w:before="60" w:after="100"/>
        <w:ind w:left="283"/>
      </w:pPr>
      <w:r>
        <w:rPr>
          <w:rFonts w:ascii="Calibri" w:hAnsi="Calibri"/>
          <w:b w:val="0"/>
          <w:i/>
          <w:color w:val="8C0000"/>
          <w:sz w:val="20"/>
        </w:rPr>
        <w:t>⚠  Frase clave: 'No solo serlo, sino también parecerlo.' El accountability exige transparencia hacia titulares, regulador y sociedad.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3. RESPONSABLE DEL TRATAMIENTO (Art. 2)</w:t>
      </w:r>
    </w:p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3.1  Definición y características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Atributo</w:t>
            </w:r>
          </w:p>
        </w:tc>
        <w:tc>
          <w:tcPr>
            <w:tcW w:type="dxa" w:w="7087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¿Quién puede ser responsable?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Persona natural O jurídica — un individuo, una empresa, una ONG, un organismo público.</w:t>
            </w:r>
          </w:p>
        </w:tc>
      </w:tr>
      <w:tr>
        <w:tc>
          <w:tcPr>
            <w:tcW w:type="dxa" w:w="2835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¿Sector público o privado?</w:t>
            </w:r>
          </w:p>
        </w:tc>
        <w:tc>
          <w:tcPr>
            <w:tcW w:type="dxa" w:w="7087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Ambos. El sector público maneja los mayores volúmenes de datos personales en Chile.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¿Qué lo define como responsable?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Toma decisiones sobre los FINES y MEDIOS del tratamiento — esa es la clave para distinguirlo del encargado.</w:t>
            </w:r>
          </w:p>
        </w:tc>
      </w:tr>
      <w:tr>
        <w:tc>
          <w:tcPr>
            <w:tcW w:type="dxa" w:w="2835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¿Puede externalizar?</w:t>
            </w:r>
          </w:p>
        </w:tc>
        <w:tc>
          <w:tcPr>
            <w:tcW w:type="dxa" w:w="7087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Sí, a través de un encargado (tercero mandatario), pero la responsabilidad sigue siendo del responsable.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3.2  Obligaciones del responsable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Obligación</w:t>
            </w:r>
          </w:p>
        </w:tc>
        <w:tc>
          <w:tcPr>
            <w:tcW w:type="dxa" w:w="1417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Base legal</w:t>
            </w:r>
          </w:p>
        </w:tc>
        <w:tc>
          <w:tcPr>
            <w:tcW w:type="dxa" w:w="5953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Deber de informar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Art. 3 + Art. 14T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Publicar en su web la política de privacidad con las 12 condiciones del Art. 14T. Accesible a cualquier persona, no solo a usuarios internos.</w:t>
            </w:r>
          </w:p>
        </w:tc>
      </w:tr>
      <w:tr>
        <w:tc>
          <w:tcPr>
            <w:tcW w:type="dxa" w:w="255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Licitud, finalidad y proporcionalidad</w:t>
            </w:r>
          </w:p>
        </w:tc>
        <w:tc>
          <w:tcPr>
            <w:tcW w:type="dxa" w:w="1417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Art. 3</w:t>
            </w:r>
          </w:p>
        </w:tc>
        <w:tc>
          <w:tcPr>
            <w:tcW w:type="dxa" w:w="5953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Recolectar datos solo de fuentes lícitas, para fines específicos y explícitos, y tratar solo los datos estrictamente necesarios.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Deber de secreto y confidencialidad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Art. 14 bis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Mantener reserva sobre los datos personales, incluso DESPUÉS de que termina la relación con el titular.</w:t>
            </w:r>
          </w:p>
        </w:tc>
      </w:tr>
      <w:tr>
        <w:tc>
          <w:tcPr>
            <w:tcW w:type="dxa" w:w="255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Responsable sin domicilio en Chile</w:t>
            </w:r>
          </w:p>
        </w:tc>
        <w:tc>
          <w:tcPr>
            <w:tcW w:type="dxa" w:w="1417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Art. 14 bis</w:t>
            </w:r>
          </w:p>
        </w:tc>
        <w:tc>
          <w:tcPr>
            <w:tcW w:type="dxa" w:w="5953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Debe mantener un correo electrónico u otro medio de contacto operativo y monitoreado para titulares chilenos y para la Agencia.</w:t>
            </w:r>
          </w:p>
        </w:tc>
      </w:tr>
    </w:tbl>
    <w:p/>
    <w:p>
      <w:pPr>
        <w:spacing w:before="60" w:after="100"/>
        <w:ind w:left="283"/>
      </w:pPr>
      <w:r>
        <w:rPr>
          <w:rFonts w:ascii="Calibri" w:hAnsi="Calibri"/>
          <w:b w:val="0"/>
          <w:i/>
          <w:color w:val="8C0000"/>
          <w:sz w:val="20"/>
        </w:rPr>
        <w:t>⚠  El deber de confidencialidad no termina con el contrato ni con la relación laboral. Debe reflejarse en los contratos de trabajo y de encargo.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4. ENCARGADO / TERCERO MANDATARIO</w:t>
      </w:r>
    </w:p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4.1  Definición y rol</w:t>
      </w:r>
    </w:p>
    <w:p>
      <w:r>
        <w:rPr>
          <w:rFonts w:ascii="Calibri" w:hAnsi="Calibri"/>
          <w:b w:val="0"/>
          <w:i w:val="0"/>
          <w:sz w:val="22"/>
        </w:rPr>
        <w:t>Persona natural o jurídica que trata datos personales POR CUENTA del responsable, siguiendo sus instrucciones — ni más ni menos. No decide sobre los fines ni los medios del tratamiento.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Aspecto</w:t>
            </w:r>
          </w:p>
        </w:tc>
        <w:tc>
          <w:tcPr>
            <w:tcW w:type="dxa" w:w="3969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Responsable</w:t>
            </w:r>
          </w:p>
        </w:tc>
        <w:tc>
          <w:tcPr>
            <w:tcW w:type="dxa" w:w="3969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Encargado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¿Quién decide?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Decide fines y medios del tratamiento.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Ejecuta el tratamiento según instrucciones del responsable.</w:t>
            </w:r>
          </w:p>
        </w:tc>
      </w:tr>
      <w:tr>
        <w:tc>
          <w:tcPr>
            <w:tcW w:type="dxa" w:w="1984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Autonomía</w:t>
            </w:r>
          </w:p>
        </w:tc>
        <w:tc>
          <w:tcPr>
            <w:tcW w:type="dxa" w:w="3969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Total sobre el tratamiento.</w:t>
            </w:r>
          </w:p>
        </w:tc>
        <w:tc>
          <w:tcPr>
            <w:tcW w:type="dxa" w:w="3969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Ninguna: solo lo expresamente convenido.</w:t>
            </w:r>
          </w:p>
        </w:tc>
      </w:tr>
      <w:tr>
        <w:tc>
          <w:tcPr>
            <w:tcW w:type="dxa" w:w="198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Ejemplo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Empresa de retail que maneja datos de clientes.</w:t>
            </w:r>
          </w:p>
        </w:tc>
        <w:tc>
          <w:tcPr>
            <w:tcW w:type="dxa" w:w="3969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Proveedor de email marketing que envía campañas con esos datos.</w:t>
            </w:r>
          </w:p>
        </w:tc>
      </w:tr>
      <w:tr>
        <w:tc>
          <w:tcPr>
            <w:tcW w:type="dxa" w:w="1984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Responsabilidad</w:t>
            </w:r>
          </w:p>
        </w:tc>
        <w:tc>
          <w:tcPr>
            <w:tcW w:type="dxa" w:w="3969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Principal y siempre presente.</w:t>
            </w:r>
          </w:p>
        </w:tc>
        <w:tc>
          <w:tcPr>
            <w:tcW w:type="dxa" w:w="3969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Solidaria si actúa fuera del mandato.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4.2  Prohibiciones del encargado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00467F"/>
          <w:sz w:val="22"/>
        </w:rPr>
        <w:t xml:space="preserve">①  </w:t>
      </w:r>
      <w:r>
        <w:rPr>
          <w:rFonts w:ascii="Calibri" w:hAnsi="Calibri"/>
          <w:b w:val="0"/>
          <w:i w:val="0"/>
          <w:color w:val="282828"/>
          <w:sz w:val="22"/>
        </w:rPr>
        <w:t>Realizar un tratamiento distinto al convenido con el responsable.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00467F"/>
          <w:sz w:val="22"/>
        </w:rPr>
        <w:t xml:space="preserve">②  </w:t>
      </w:r>
      <w:r>
        <w:rPr>
          <w:rFonts w:ascii="Calibri" w:hAnsi="Calibri"/>
          <w:b w:val="0"/>
          <w:i w:val="0"/>
          <w:color w:val="282828"/>
          <w:sz w:val="22"/>
        </w:rPr>
        <w:t>Ceder o entregar los datos a terceros sin autorización expresa y específica del responsable.</w:t>
      </w:r>
    </w:p>
    <w:p>
      <w:pPr>
        <w:spacing w:before="60" w:after="100"/>
        <w:ind w:left="283"/>
      </w:pPr>
      <w:r>
        <w:rPr>
          <w:rFonts w:ascii="Calibri" w:hAnsi="Calibri"/>
          <w:b w:val="0"/>
          <w:i/>
          <w:color w:val="8C0000"/>
          <w:sz w:val="20"/>
        </w:rPr>
        <w:t>⚠  Si el encargado incumple estas prohibiciones, PASA A SER CONSIDERADO RESPONSABLE y responde solidariamente con el responsable original por todas las infracciones y daños causados.</w:t>
      </w:r>
    </w:p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4.3  Contrato obligatorio Responsable ↔ Encargado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282828"/>
          <w:sz w:val="22"/>
        </w:rPr>
        <w:t>Debe existir SIEMPRE un contrato escrito entre responsable y encargado.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Elemento obligatorio del contrato</w:t>
            </w:r>
          </w:p>
        </w:tc>
        <w:tc>
          <w:tcPr>
            <w:tcW w:type="dxa" w:w="7087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① Objeto del encargo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Qué tratamiento específico realizará el encargado.</w:t>
            </w:r>
          </w:p>
        </w:tc>
      </w:tr>
      <w:tr>
        <w:tc>
          <w:tcPr>
            <w:tcW w:type="dxa" w:w="2835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② Duración</w:t>
            </w:r>
          </w:p>
        </w:tc>
        <w:tc>
          <w:tcPr>
            <w:tcW w:type="dxa" w:w="7087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Período por el cual se extiende el encargo.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③ Finalidad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Para qué fines se tratan los datos en el marco del encargo.</w:t>
            </w:r>
          </w:p>
        </w:tc>
      </w:tr>
      <w:tr>
        <w:tc>
          <w:tcPr>
            <w:tcW w:type="dxa" w:w="2835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④ Tipo de datos personales</w:t>
            </w:r>
          </w:p>
        </w:tc>
        <w:tc>
          <w:tcPr>
            <w:tcW w:type="dxa" w:w="7087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Qué categorías de datos serán objeto del encargo.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⑤ Categoría de titulares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 qué personas corresponden los datos (clientes, trabajadores, etc.).</w:t>
            </w:r>
          </w:p>
        </w:tc>
      </w:tr>
      <w:tr>
        <w:tc>
          <w:tcPr>
            <w:tcW w:type="dxa" w:w="2835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⑥ Derechos y obligaciones</w:t>
            </w:r>
          </w:p>
        </w:tc>
        <w:tc>
          <w:tcPr>
            <w:tcW w:type="dxa" w:w="7087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Qué puede y no puede hacer el encargado; cómo responde ante brechas, solicitudes de derechos, etc.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4.4  Subencargados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00467F"/>
          <w:sz w:val="22"/>
        </w:rPr>
        <w:t xml:space="preserve">Condición:  </w:t>
      </w:r>
      <w:r>
        <w:rPr>
          <w:rFonts w:ascii="Calibri" w:hAnsi="Calibri"/>
          <w:b w:val="0"/>
          <w:i w:val="0"/>
          <w:color w:val="282828"/>
          <w:sz w:val="22"/>
        </w:rPr>
        <w:t>El encargado puede delegar en un subencargado SOLO con autorización escrita y específica del responsable.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00467F"/>
          <w:sz w:val="22"/>
        </w:rPr>
        <w:t xml:space="preserve">Responsabilidad:  </w:t>
      </w:r>
      <w:r>
        <w:rPr>
          <w:rFonts w:ascii="Calibri" w:hAnsi="Calibri"/>
          <w:b w:val="0"/>
          <w:i w:val="0"/>
          <w:color w:val="282828"/>
          <w:sz w:val="22"/>
        </w:rPr>
        <w:t>El encargado principal sigue siendo solidariamente responsable del tratamiento realizado por el subencargado.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00467F"/>
          <w:sz w:val="22"/>
        </w:rPr>
        <w:t xml:space="preserve">Prohibición:  </w:t>
      </w:r>
      <w:r>
        <w:rPr>
          <w:rFonts w:ascii="Calibri" w:hAnsi="Calibri"/>
          <w:b w:val="0"/>
          <w:i w:val="0"/>
          <w:color w:val="282828"/>
          <w:sz w:val="22"/>
        </w:rPr>
        <w:t>No se puede incluir una cláusula contractual que excluya o limite esta responsabilidad solidaria.</w:t>
      </w:r>
    </w:p>
    <w:p>
      <w:pPr>
        <w:spacing w:before="60" w:after="100"/>
        <w:ind w:left="283"/>
      </w:pPr>
      <w:r>
        <w:rPr>
          <w:rFonts w:ascii="Calibri" w:hAnsi="Calibri"/>
          <w:b w:val="0"/>
          <w:i/>
          <w:color w:val="8C0000"/>
          <w:sz w:val="20"/>
        </w:rPr>
        <w:t>⚠  La responsabilidad solidaria del encargado principal NO se puede delegar ni limitar por contrato. Aunque subcontrate, sigue respondiendo.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5. DELEGADO DE PROTECCIÓN DE DATOS — DPD / DPO</w:t>
      </w:r>
    </w:p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5.1  ¿Es obligatorio?</w:t>
      </w:r>
    </w:p>
    <w:p>
      <w:pPr>
        <w:ind w:left="283"/>
      </w:pPr>
      <w:r>
        <w:rPr>
          <w:rFonts w:ascii="Calibri" w:hAnsi="Calibri"/>
          <w:b/>
          <w:i w:val="0"/>
          <w:color w:val="0070C0"/>
          <w:sz w:val="22"/>
        </w:rPr>
        <w:t>NO es obligatorio en general. SÍ es obligatorio si el responsable adhiere al Programa de Prevención de Infracciones (voluntario). En todo caso, es altamente recomendable.</w:t>
      </w:r>
    </w:p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5.2  Designación y perfil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Atributo</w:t>
            </w:r>
          </w:p>
        </w:tc>
        <w:tc>
          <w:tcPr>
            <w:tcW w:type="dxa" w:w="7370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¿Quién lo designa?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 máxima autoridad directiva o administrativa: directorio, socio-administrador o gerente general.</w:t>
            </w:r>
          </w:p>
        </w:tc>
      </w:tr>
      <w:tr>
        <w:tc>
          <w:tcPr>
            <w:tcW w:type="dxa" w:w="255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Perfil requerido</w:t>
            </w:r>
          </w:p>
        </w:tc>
        <w:tc>
          <w:tcPr>
            <w:tcW w:type="dxa" w:w="7370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Idoneidad + capacidad + conocimiento específico en protección de datos. Lo ideal: mix de conocimiento legal Y de tecnologías de la información (IT).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Autonomía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Debe actuar con independencia respecto de la administración en materias de la ley. Sin conflictos de interés jerárquicos.</w:t>
            </w:r>
          </w:p>
        </w:tc>
      </w:tr>
      <w:tr>
        <w:tc>
          <w:tcPr>
            <w:tcW w:type="dxa" w:w="255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Nivel jerárquico ideal</w:t>
            </w:r>
          </w:p>
        </w:tc>
        <w:tc>
          <w:tcPr>
            <w:tcW w:type="dxa" w:w="7370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El más alto posible dentro de la organización. Dependiente del directorio o gerente general (no de IT ni de legal de forma exclusiva).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¿Puede externalizarse?</w:t>
            </w:r>
          </w:p>
        </w:tc>
        <w:tc>
          <w:tcPr>
            <w:tcW w:type="dxa" w:w="737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Sí, aunque no está explícito en la ley 21.719. Gran alivio para PYMES y organizaciones medianas.</w:t>
            </w:r>
          </w:p>
        </w:tc>
      </w:tr>
      <w:tr>
        <w:tc>
          <w:tcPr>
            <w:tcW w:type="dxa" w:w="2551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PYMES</w:t>
            </w:r>
          </w:p>
        </w:tc>
        <w:tc>
          <w:tcPr>
            <w:tcW w:type="dxa" w:w="7370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El dueño o máxima autoridad puede asumir las funciones del DPD personalmente. En grupos empresariales se permite un solo DPD para todo el grupo.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5.3  Funciones del DPD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Función</w:t>
            </w:r>
          </w:p>
        </w:tc>
        <w:tc>
          <w:tcPr>
            <w:tcW w:type="dxa" w:w="4252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Descripción</w:t>
            </w:r>
          </w:p>
        </w:tc>
        <w:tc>
          <w:tcPr>
            <w:tcW w:type="dxa" w:w="3402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Perfil que la domina mejor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Asesoría y asesoramiento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Informar y asesorar al responsable, encargados y personal sobre las disposiciones legales.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Legal</w:t>
            </w:r>
          </w:p>
        </w:tc>
      </w:tr>
      <w:tr>
        <w:tc>
          <w:tcPr>
            <w:tcW w:type="dxa" w:w="2268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Información legal</w:t>
            </w:r>
          </w:p>
        </w:tc>
        <w:tc>
          <w:tcPr>
            <w:tcW w:type="dxa" w:w="425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Proveer información actualizada sobre la normativa en evolución constante.</w:t>
            </w:r>
          </w:p>
        </w:tc>
        <w:tc>
          <w:tcPr>
            <w:tcW w:type="dxa" w:w="34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Legal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Formación y capacitación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Capacitar a todo el personal con acceso a datos personales (prácticamente toda la organización).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Legal + IT</w:t>
            </w:r>
          </w:p>
        </w:tc>
      </w:tr>
      <w:tr>
        <w:tc>
          <w:tcPr>
            <w:tcW w:type="dxa" w:w="2268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Compliance / cumplimiento</w:t>
            </w:r>
          </w:p>
        </w:tc>
        <w:tc>
          <w:tcPr>
            <w:tcW w:type="dxa" w:w="425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Asegurar que las operaciones se realizan conforme a la ley y las políticas internas de privacidad.</w:t>
            </w:r>
          </w:p>
        </w:tc>
        <w:tc>
          <w:tcPr>
            <w:tcW w:type="dxa" w:w="34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Legal + Auditoría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Supervisión y gestión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Supervisar el cumplimiento de la normativa y la política del responsable.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IT + Auditoría</w:t>
            </w:r>
          </w:p>
        </w:tc>
      </w:tr>
      <w:tr>
        <w:tc>
          <w:tcPr>
            <w:tcW w:type="dxa" w:w="2268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Plan anual de trabajo</w:t>
            </w:r>
          </w:p>
        </w:tc>
        <w:tc>
          <w:tcPr>
            <w:tcW w:type="dxa" w:w="425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Elaborar y ejecutar un plan anual documentado. Debe estar disponible ante requerimiento de la Agencia.</w:t>
            </w:r>
          </w:p>
        </w:tc>
        <w:tc>
          <w:tcPr>
            <w:tcW w:type="dxa" w:w="34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Auditoría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Identificación de riesgos</w:t>
            </w:r>
          </w:p>
        </w:tc>
        <w:tc>
          <w:tcPr>
            <w:tcW w:type="dxa" w:w="425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Detectar riesgos de privacidad en los tratamientos de datos.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Auditoría + IT</w:t>
            </w:r>
          </w:p>
        </w:tc>
      </w:tr>
      <w:tr>
        <w:tc>
          <w:tcPr>
            <w:tcW w:type="dxa" w:w="2268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Punto de contacto institucional</w:t>
            </w:r>
          </w:p>
        </w:tc>
        <w:tc>
          <w:tcPr>
            <w:tcW w:type="dxa" w:w="425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Focal point interno y externo para todo lo relacionado con datos personales.</w:t>
            </w:r>
          </w:p>
        </w:tc>
        <w:tc>
          <w:tcPr>
            <w:tcW w:type="dxa" w:w="34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Todos</w:t>
            </w:r>
          </w:p>
        </w:tc>
      </w:tr>
    </w:tbl>
    <w:p/>
    <w:p>
      <w:pPr>
        <w:spacing w:before="60" w:after="100"/>
        <w:ind w:left="283"/>
      </w:pPr>
      <w:r>
        <w:rPr>
          <w:rFonts w:ascii="Calibri" w:hAnsi="Calibri"/>
          <w:b w:val="0"/>
          <w:i/>
          <w:color w:val="8C0000"/>
          <w:sz w:val="20"/>
        </w:rPr>
        <w:t>⚠  El DPD NO debe pertenecer al área cuyas actividades supervisa (conflicto de interés). Si depende solo de IT o solo de Legal, surgen tensiones. Lo ideal es independencia real respecto de ambas.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6. PRIVACIDAD DESDE EL DISEÑO Y POR DEFECTO (Art. 14D)</w:t>
      </w:r>
    </w:p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6.1  Privacidad desde el DISEÑO</w:t>
      </w:r>
    </w:p>
    <w:p>
      <w:r>
        <w:rPr>
          <w:rFonts w:ascii="Calibri" w:hAnsi="Calibri"/>
          <w:b w:val="0"/>
          <w:i w:val="0"/>
          <w:sz w:val="22"/>
        </w:rPr>
        <w:t>Obligación de aplicar medidas técnicas y organizativas ANTES y DURANTE el desarrollo de sistemas y procesos que traten datos personales. No se puede 'agregar privacidad' al final del desarrollo.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Principio aplicado</w:t>
            </w:r>
          </w:p>
        </w:tc>
        <w:tc>
          <w:tcPr>
            <w:tcW w:type="dxa" w:w="7087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Cómo se implementa en el diseño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Proporcionalidad / Minimización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El formulario solo pide nombre y correo — no datos que no son estrictamente necesarios.</w:t>
            </w:r>
          </w:p>
        </w:tc>
      </w:tr>
      <w:tr>
        <w:tc>
          <w:tcPr>
            <w:tcW w:type="dxa" w:w="2835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Finalidad</w:t>
            </w:r>
          </w:p>
        </w:tc>
        <w:tc>
          <w:tcPr>
            <w:tcW w:type="dxa" w:w="7087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El sistema permite solo los tratamientos declarados en la política de privacidad.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Transparencia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 finalidad de cada campo del formulario está explicada al usuario al momento de ingresarla.</w:t>
            </w:r>
          </w:p>
        </w:tc>
      </w:tr>
      <w:tr>
        <w:tc>
          <w:tcPr>
            <w:tcW w:type="dxa" w:w="2835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Seguridad</w:t>
            </w:r>
          </w:p>
        </w:tc>
        <w:tc>
          <w:tcPr>
            <w:tcW w:type="dxa" w:w="7087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Cifrado de datos en tránsito y en reposo desde el momento de la recolección.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Proporcionalidad (almacenamiento)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El sistema tiene configurado el período de retención y elimina automáticamente los datos al cumplirlo.</w:t>
            </w:r>
          </w:p>
        </w:tc>
      </w:tr>
    </w:tbl>
    <w:p/>
    <w:p>
      <w:pPr>
        <w:spacing w:before="60" w:after="100"/>
        <w:ind w:left="283"/>
      </w:pPr>
      <w:r>
        <w:rPr>
          <w:rFonts w:ascii="Calibri" w:hAnsi="Calibri"/>
          <w:b w:val="0"/>
          <w:i/>
          <w:color w:val="8C0000"/>
          <w:sz w:val="20"/>
        </w:rPr>
        <w:t>⚠  Si el sistema está a medio desarrollar en diciembre de 2026 sin aplicar privacidad desde el diseño, modificarlo puede significar rehacer todo el desarrollo. Hay que implementarlo DESDE YA.</w:t>
      </w:r>
    </w:p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6.2  Privacidad POR DEFECTO</w:t>
      </w:r>
    </w:p>
    <w:p>
      <w:r>
        <w:rPr>
          <w:rFonts w:ascii="Calibri" w:hAnsi="Calibri"/>
          <w:b w:val="0"/>
          <w:i w:val="0"/>
          <w:sz w:val="22"/>
        </w:rPr>
        <w:t>Por defecto, solo deben ser objeto de tratamiento los datos personales mínimos e indispensables para la finalidad definida. Es la configuración 'de fábrica' del sistema.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Aspecto</w:t>
            </w:r>
          </w:p>
        </w:tc>
        <w:tc>
          <w:tcPr>
            <w:tcW w:type="dxa" w:w="7654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Obligación por defecto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Cantidad de datos</w:t>
            </w:r>
          </w:p>
        </w:tc>
        <w:tc>
          <w:tcPr>
            <w:tcW w:type="dxa" w:w="765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Ni más ni menos que los estrictamente necesarios para la finalidad (minimización).</w:t>
            </w:r>
          </w:p>
        </w:tc>
      </w:tr>
      <w:tr>
        <w:tc>
          <w:tcPr>
            <w:tcW w:type="dxa" w:w="2268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Alcance del tratamiento</w:t>
            </w:r>
          </w:p>
        </w:tc>
        <w:tc>
          <w:tcPr>
            <w:tcW w:type="dxa" w:w="7654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Limitado estrictamente a la finalidad declarada.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Plazo de conservación</w:t>
            </w:r>
          </w:p>
        </w:tc>
        <w:tc>
          <w:tcPr>
            <w:tcW w:type="dxa" w:w="7654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El mínimo necesario. Los datos se eliminan al cumplir su finalidad.</w:t>
            </w:r>
          </w:p>
        </w:tc>
      </w:tr>
      <w:tr>
        <w:tc>
          <w:tcPr>
            <w:tcW w:type="dxa" w:w="2268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Accesibilidad</w:t>
            </w:r>
          </w:p>
        </w:tc>
        <w:tc>
          <w:tcPr>
            <w:tcW w:type="dxa" w:w="7654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Solo las personas autorizadas pueden acceder. Configuración privada por defecto (ej.: perfil de red social nuevo = privado por defecto).</w:t>
            </w:r>
          </w:p>
        </w:tc>
      </w:tr>
    </w:tbl>
    <w:p/>
    <w:p>
      <w:pPr>
        <w:spacing w:before="60" w:after="100"/>
        <w:ind w:left="283"/>
      </w:pPr>
      <w:r>
        <w:rPr>
          <w:rFonts w:ascii="Calibri" w:hAnsi="Calibri"/>
          <w:b w:val="0"/>
          <w:i/>
          <w:color w:val="8C0000"/>
          <w:sz w:val="20"/>
        </w:rPr>
        <w:t>⚠  Ejemplo típico de incumplimiento: formularios que piden teléfono, dirección, fecha de nacimiento 'por si acaso lo necesitamos después'. Eso viola el principio de proporcionalidad y la privacidad por defecto.</w:t>
      </w:r>
    </w:p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7. EVALUACIÓN DE IMPACTO EN PROTECCIÓN DE DATOS — DPIA / EIPD</w:t>
      </w:r>
    </w:p>
    <w:p>
      <w:r>
        <w:rPr>
          <w:rFonts w:ascii="Calibri" w:hAnsi="Calibri"/>
          <w:b w:val="0"/>
          <w:i/>
          <w:color w:val="3C3C3C"/>
          <w:sz w:val="22"/>
        </w:rPr>
        <w:t>Evaluación sistemática y previa al inicio de operaciones de las consecuencias para la privacidad de un tratamiento de alto riesgo. Su objetivo es identificar y mitigar riesgos antes de que ocurran.</w:t>
      </w:r>
    </w:p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7.1  ¿Cuándo es OBLIGATORIA la DPIA?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Situación</w:t>
            </w:r>
          </w:p>
        </w:tc>
        <w:tc>
          <w:tcPr>
            <w:tcW w:type="dxa" w:w="6520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Evaluación sistemática y exhaustiva de personas</w:t>
            </w:r>
          </w:p>
        </w:tc>
        <w:tc>
          <w:tcPr>
            <w:tcW w:type="dxa" w:w="65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Perfilamiento, scoring, decisiones automatizadas con efectos jurídicos o significativos.</w:t>
            </w:r>
          </w:p>
        </w:tc>
      </w:tr>
      <w:tr>
        <w:tc>
          <w:tcPr>
            <w:tcW w:type="dxa" w:w="34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Tratamientos masivos o a gran escala</w:t>
            </w:r>
          </w:p>
        </w:tc>
        <w:tc>
          <w:tcPr>
            <w:tcW w:type="dxa" w:w="6520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Volumen alto de datos o de titulares (la Agencia definirá los umbrales específicos).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Monitoreo sistemático</w:t>
            </w:r>
          </w:p>
        </w:tc>
        <w:tc>
          <w:tcPr>
            <w:tcW w:type="dxa" w:w="65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Vigilancia de personas en espacios públicos o privados de forma continua o a gran escala.</w:t>
            </w:r>
          </w:p>
        </w:tc>
      </w:tr>
      <w:tr>
        <w:tc>
          <w:tcPr>
            <w:tcW w:type="dxa" w:w="34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Datos sensibles o especialmente protegidos</w:t>
            </w:r>
          </w:p>
        </w:tc>
        <w:tc>
          <w:tcPr>
            <w:tcW w:type="dxa" w:w="6520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Salud, biométricos, genéticos, menores de edad, etc.</w:t>
            </w:r>
          </w:p>
        </w:tc>
      </w:tr>
      <w:tr>
        <w:tc>
          <w:tcPr>
            <w:tcW w:type="dxa" w:w="340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Nueva versión de software o sistema</w:t>
            </w:r>
          </w:p>
        </w:tc>
        <w:tc>
          <w:tcPr>
            <w:tcW w:type="dxa" w:w="6520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Cada lanzamiento importante de una plataforma que trata datos personales.</w:t>
            </w:r>
          </w:p>
        </w:tc>
      </w:tr>
      <w:tr>
        <w:tc>
          <w:tcPr>
            <w:tcW w:type="dxa" w:w="3402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Tratamiento de datos que involucre nueva tecnología</w:t>
            </w:r>
          </w:p>
        </w:tc>
        <w:tc>
          <w:tcPr>
            <w:tcW w:type="dxa" w:w="6520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Cuando el uso de nueva tecnología puede producir alto riesgo para los derechos de los titulares.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7.2  Contenido mínimo de una DPIA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00467F"/>
          <w:sz w:val="22"/>
        </w:rPr>
        <w:t xml:space="preserve">①  </w:t>
      </w:r>
      <w:r>
        <w:rPr>
          <w:rFonts w:ascii="Calibri" w:hAnsi="Calibri"/>
          <w:b w:val="0"/>
          <w:i w:val="0"/>
          <w:color w:val="282828"/>
          <w:sz w:val="22"/>
        </w:rPr>
        <w:t>Descripción detallada del tratamiento: qué datos, para qué, por cuánto tiempo, quiénes acceden.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00467F"/>
          <w:sz w:val="22"/>
        </w:rPr>
        <w:t xml:space="preserve">②  </w:t>
      </w:r>
      <w:r>
        <w:rPr>
          <w:rFonts w:ascii="Calibri" w:hAnsi="Calibri"/>
          <w:b w:val="0"/>
          <w:i w:val="0"/>
          <w:color w:val="282828"/>
          <w:sz w:val="22"/>
        </w:rPr>
        <w:t>Evaluación de necesidad y proporcionalidad: ¿es este tratamiento realmente necesario? ¿se puede lograr el objetivo con menos datos?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00467F"/>
          <w:sz w:val="22"/>
        </w:rPr>
        <w:t xml:space="preserve">③  </w:t>
      </w:r>
      <w:r>
        <w:rPr>
          <w:rFonts w:ascii="Calibri" w:hAnsi="Calibri"/>
          <w:b w:val="0"/>
          <w:i w:val="0"/>
          <w:color w:val="282828"/>
          <w:sz w:val="22"/>
        </w:rPr>
        <w:t>Análisis de riesgos: identificar amenazas concretas para los derechos de los titulares.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00467F"/>
          <w:sz w:val="22"/>
        </w:rPr>
        <w:t xml:space="preserve">④  </w:t>
      </w:r>
      <w:r>
        <w:rPr>
          <w:rFonts w:ascii="Calibri" w:hAnsi="Calibri"/>
          <w:b w:val="0"/>
          <w:i w:val="0"/>
          <w:color w:val="282828"/>
          <w:sz w:val="22"/>
        </w:rPr>
        <w:t>Medidas de mitigación: qué controles técnicos y organizativos se implementarán para reducir los riesgos identificados.</w:t>
      </w:r>
    </w:p>
    <w:p>
      <w:pPr>
        <w:spacing w:before="60" w:after="100"/>
        <w:ind w:left="283"/>
      </w:pPr>
      <w:r>
        <w:rPr>
          <w:rFonts w:ascii="Calibri" w:hAnsi="Calibri"/>
          <w:b w:val="0"/>
          <w:i/>
          <w:color w:val="8C0000"/>
          <w:sz w:val="20"/>
        </w:rPr>
        <w:t>⚠  La DPIA es OBLIGATORIA también cuando se procesan datos sensibles bajo hipótesis de excepción al consentimiento (Art. 16 y 16 BIS). No hacerla cuando corresponde constituye infracción.</w:t>
      </w:r>
    </w:p>
    <w:p>
      <w:pPr>
        <w:spacing w:before="160" w:after="40"/>
      </w:pPr>
      <w:r>
        <w:rPr>
          <w:rFonts w:ascii="Calibri" w:hAnsi="Calibri"/>
          <w:b/>
          <w:i w:val="0"/>
          <w:color w:val="0070C0"/>
          <w:sz w:val="22"/>
        </w:rPr>
        <w:t>7.3  Relación DPIA con otros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Concepto relacionado</w:t>
            </w:r>
          </w:p>
        </w:tc>
        <w:tc>
          <w:tcPr>
            <w:tcW w:type="dxa" w:w="7087"/>
            <w:shd w:fill="003F7F" w:val="clea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Vínculo con la DPIA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Bases de licitud (Módulo 2)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Procesar sensibles sin consentimiento → DPIA obligatoria automáticamente.</w:t>
            </w:r>
          </w:p>
        </w:tc>
      </w:tr>
      <w:tr>
        <w:tc>
          <w:tcPr>
            <w:tcW w:type="dxa" w:w="2835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Principio de proporcionalidad (Módulo 2)</w:t>
            </w:r>
          </w:p>
        </w:tc>
        <w:tc>
          <w:tcPr>
            <w:tcW w:type="dxa" w:w="7087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 DPIA evalúa si el tratamiento es proporcional al fin buscado.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Privacidad desde el diseño (este módulo)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 DPIA se realiza antes del diseño del sistema, no después.</w:t>
            </w:r>
          </w:p>
        </w:tc>
      </w:tr>
      <w:tr>
        <w:tc>
          <w:tcPr>
            <w:tcW w:type="dxa" w:w="2835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Encargados (este módulo)</w:t>
            </w:r>
          </w:p>
        </w:tc>
        <w:tc>
          <w:tcPr>
            <w:tcW w:type="dxa" w:w="7087"/>
            <w:shd w:fill="EBF3FB" w:val="clear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La DPIA debe considerar los tratamientos realizados por los encargados del responsable.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DPD/DPO (este módulo)</w:t>
            </w:r>
          </w:p>
        </w:tc>
        <w:tc>
          <w:tcPr>
            <w:tcW w:type="dxa" w:w="7087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El DPD debe participar o supervisar la elaboración de las DPIAs.</w:t>
            </w:r>
          </w:p>
        </w:tc>
      </w:tr>
    </w:tbl>
    <w:p/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8. MAPA MENTAL — MÓDULO 4</w:t>
      </w:r>
    </w:p>
    <w:p>
      <w:pPr>
        <w:spacing w:before="100" w:after="40"/>
        <w:ind w:left="0"/>
      </w:pPr>
      <w:r>
        <w:rPr>
          <w:rFonts w:ascii="Calibri" w:hAnsi="Calibri"/>
          <w:b/>
          <w:i w:val="0"/>
          <w:color w:val="00467F"/>
          <w:sz w:val="26"/>
        </w:rPr>
        <w:t>●  LEY 21.719 — MÓDULO 4: RESPONSABILIDAD PROACTIVA Y GOBERNANZA</w:t>
      </w:r>
    </w:p>
    <w:p>
      <w:pPr>
        <w:spacing w:before="100" w:after="40"/>
        <w:ind w:left="425"/>
      </w:pPr>
      <w:r>
        <w:rPr>
          <w:rFonts w:ascii="Calibri" w:hAnsi="Calibri"/>
          <w:b/>
          <w:i w:val="0"/>
          <w:color w:val="0070C0"/>
          <w:sz w:val="24"/>
        </w:rPr>
        <w:t>▸  ACCOUNTABILITY (Responsabilidad proactiva)</w:t>
      </w:r>
    </w:p>
    <w:p>
      <w:pPr>
        <w:spacing w:before="40" w:after="40"/>
        <w:ind w:left="850"/>
      </w:pPr>
      <w:r>
        <w:rPr>
          <w:rFonts w:ascii="Calibri" w:hAnsi="Calibri"/>
          <w:b/>
          <w:i w:val="0"/>
          <w:color w:val="468246"/>
          <w:sz w:val="22"/>
        </w:rPr>
        <w:t>–  No basta cumplir: hay que DEMOSTRAR que se cumple</w:t>
      </w:r>
    </w:p>
    <w:p>
      <w:pPr>
        <w:spacing w:before="40" w:after="40"/>
        <w:ind w:left="850"/>
      </w:pPr>
      <w:r>
        <w:rPr>
          <w:rFonts w:ascii="Calibri" w:hAnsi="Calibri"/>
          <w:b/>
          <w:i w:val="0"/>
          <w:color w:val="468246"/>
          <w:sz w:val="22"/>
        </w:rPr>
        <w:t>–  Documentar: consentimientos, bases de licitud, plazos, medidas de seguridad</w:t>
      </w:r>
    </w:p>
    <w:p>
      <w:pPr>
        <w:spacing w:before="40" w:after="40"/>
        <w:ind w:left="850"/>
      </w:pPr>
      <w:r>
        <w:rPr>
          <w:rFonts w:ascii="Calibri" w:hAnsi="Calibri"/>
          <w:b/>
          <w:i w:val="0"/>
          <w:color w:val="468246"/>
          <w:sz w:val="22"/>
        </w:rPr>
        <w:t>–  Brecha de seguridad: multa depende de qué medidas existían previo al incidente</w:t>
      </w:r>
    </w:p>
    <w:p>
      <w:pPr>
        <w:spacing w:before="100" w:after="40"/>
        <w:ind w:left="425"/>
      </w:pPr>
      <w:r>
        <w:rPr>
          <w:rFonts w:ascii="Calibri" w:hAnsi="Calibri"/>
          <w:b/>
          <w:i w:val="0"/>
          <w:color w:val="0070C0"/>
          <w:sz w:val="24"/>
        </w:rPr>
        <w:t>▸  RESPONSABLE DEL TRATAMIENTO (Art. 2)</w:t>
      </w:r>
    </w:p>
    <w:p>
      <w:pPr>
        <w:spacing w:before="40" w:after="40"/>
        <w:ind w:left="850"/>
      </w:pPr>
      <w:r>
        <w:rPr>
          <w:rFonts w:ascii="Calibri" w:hAnsi="Calibri"/>
          <w:b/>
          <w:i w:val="0"/>
          <w:color w:val="468246"/>
          <w:sz w:val="22"/>
        </w:rPr>
        <w:t>–  Persona natural o jurídica, pública o privada</w:t>
      </w:r>
    </w:p>
    <w:p>
      <w:pPr>
        <w:spacing w:before="40" w:after="40"/>
        <w:ind w:left="850"/>
      </w:pPr>
      <w:r>
        <w:rPr>
          <w:rFonts w:ascii="Calibri" w:hAnsi="Calibri"/>
          <w:b/>
          <w:i w:val="0"/>
          <w:color w:val="468246"/>
          <w:sz w:val="22"/>
        </w:rPr>
        <w:t>–  Define FINES y MEDIOS del tratamiento ← clave para distinguirlo del encargado</w:t>
      </w:r>
    </w:p>
    <w:p>
      <w:pPr>
        <w:spacing w:before="40" w:after="40"/>
        <w:ind w:left="850"/>
      </w:pPr>
      <w:r>
        <w:rPr>
          <w:rFonts w:ascii="Calibri" w:hAnsi="Calibri"/>
          <w:b/>
          <w:i w:val="0"/>
          <w:color w:val="468246"/>
          <w:sz w:val="22"/>
        </w:rPr>
        <w:t>–  Obligaciones clave:</w:t>
      </w:r>
    </w:p>
    <w:p>
      <w:pPr>
        <w:spacing w:before="40" w:after="40"/>
        <w:ind w:left="1276"/>
      </w:pPr>
      <w:r>
        <w:rPr>
          <w:rFonts w:ascii="Calibri" w:hAnsi="Calibri"/>
          <w:b w:val="0"/>
          <w:i w:val="0"/>
          <w:color w:val="505050"/>
          <w:sz w:val="20"/>
        </w:rPr>
        <w:t>·  Deber de informar: política de privacidad pública en web (Art. 14T)</w:t>
      </w:r>
    </w:p>
    <w:p>
      <w:pPr>
        <w:spacing w:before="40" w:after="40"/>
        <w:ind w:left="1276"/>
      </w:pPr>
      <w:r>
        <w:rPr>
          <w:rFonts w:ascii="Calibri" w:hAnsi="Calibri"/>
          <w:b w:val="0"/>
          <w:i w:val="0"/>
          <w:color w:val="505050"/>
          <w:sz w:val="20"/>
        </w:rPr>
        <w:t>·  Licitud + finalidad + proporcionalidad en cada tratamiento</w:t>
      </w:r>
    </w:p>
    <w:p>
      <w:pPr>
        <w:spacing w:before="40" w:after="40"/>
        <w:ind w:left="1276"/>
      </w:pPr>
      <w:r>
        <w:rPr>
          <w:rFonts w:ascii="Calibri" w:hAnsi="Calibri"/>
          <w:b w:val="0"/>
          <w:i w:val="0"/>
          <w:color w:val="505050"/>
          <w:sz w:val="20"/>
        </w:rPr>
        <w:t>·  Secreto y confidencialidad: incluso post-relación con el titular (Art. 14 bis)</w:t>
      </w:r>
    </w:p>
    <w:p>
      <w:pPr>
        <w:spacing w:before="40" w:after="40"/>
        <w:ind w:left="1276"/>
      </w:pPr>
      <w:r>
        <w:rPr>
          <w:rFonts w:ascii="Calibri" w:hAnsi="Calibri"/>
          <w:b w:val="0"/>
          <w:i w:val="0"/>
          <w:color w:val="505050"/>
          <w:sz w:val="20"/>
        </w:rPr>
        <w:t>·  Sin domicilio en Chile: correo de contacto operativo obligatorio</w:t>
      </w:r>
    </w:p>
    <w:p>
      <w:pPr>
        <w:spacing w:before="100" w:after="40"/>
        <w:ind w:left="425"/>
      </w:pPr>
      <w:r>
        <w:rPr>
          <w:rFonts w:ascii="Calibri" w:hAnsi="Calibri"/>
          <w:b/>
          <w:i w:val="0"/>
          <w:color w:val="0070C0"/>
          <w:sz w:val="24"/>
        </w:rPr>
        <w:t>▸  ENCARGADO / TERCERO MANDATARIO</w:t>
      </w:r>
    </w:p>
    <w:p>
      <w:pPr>
        <w:spacing w:before="40" w:after="40"/>
        <w:ind w:left="850"/>
      </w:pPr>
      <w:r>
        <w:rPr>
          <w:rFonts w:ascii="Calibri" w:hAnsi="Calibri"/>
          <w:b/>
          <w:i w:val="0"/>
          <w:color w:val="468246"/>
          <w:sz w:val="22"/>
        </w:rPr>
        <w:t>–  Trata datos por cuenta del responsable, bajo sus instrucciones</w:t>
      </w:r>
    </w:p>
    <w:p>
      <w:pPr>
        <w:spacing w:before="40" w:after="40"/>
        <w:ind w:left="850"/>
      </w:pPr>
      <w:r>
        <w:rPr>
          <w:rFonts w:ascii="Calibri" w:hAnsi="Calibri"/>
          <w:b/>
          <w:i w:val="0"/>
          <w:color w:val="468246"/>
          <w:sz w:val="22"/>
        </w:rPr>
        <w:t>–  NO decide fines ni medios</w:t>
      </w:r>
    </w:p>
    <w:p>
      <w:pPr>
        <w:spacing w:before="40" w:after="40"/>
        <w:ind w:left="850"/>
      </w:pPr>
      <w:r>
        <w:rPr>
          <w:rFonts w:ascii="Calibri" w:hAnsi="Calibri"/>
          <w:b/>
          <w:i w:val="0"/>
          <w:color w:val="468246"/>
          <w:sz w:val="22"/>
        </w:rPr>
        <w:t>–  Prohibido: tratar datos distintos a lo convenido / ceder sin autorización</w:t>
      </w:r>
    </w:p>
    <w:p>
      <w:pPr>
        <w:spacing w:before="40" w:after="40"/>
        <w:ind w:left="850"/>
      </w:pPr>
      <w:r>
        <w:rPr>
          <w:rFonts w:ascii="Calibri" w:hAnsi="Calibri"/>
          <w:b/>
          <w:i w:val="0"/>
          <w:color w:val="468246"/>
          <w:sz w:val="22"/>
        </w:rPr>
        <w:t>–  Si incumple → pasa a ser considerado responsable → responsabilidad solidaria</w:t>
      </w:r>
    </w:p>
    <w:p>
      <w:pPr>
        <w:spacing w:before="40" w:after="40"/>
        <w:ind w:left="850"/>
      </w:pPr>
      <w:r>
        <w:rPr>
          <w:rFonts w:ascii="Calibri" w:hAnsi="Calibri"/>
          <w:b/>
          <w:i w:val="0"/>
          <w:color w:val="468246"/>
          <w:sz w:val="22"/>
        </w:rPr>
        <w:t>–  Contrato obligatorio: objeto + duración + finalidad + tipo de datos + titulares + derechos/obligaciones</w:t>
      </w:r>
    </w:p>
    <w:p>
      <w:pPr>
        <w:spacing w:before="40" w:after="40"/>
        <w:ind w:left="850"/>
      </w:pPr>
      <w:r>
        <w:rPr>
          <w:rFonts w:ascii="Calibri" w:hAnsi="Calibri"/>
          <w:b/>
          <w:i w:val="0"/>
          <w:color w:val="468246"/>
          <w:sz w:val="22"/>
        </w:rPr>
        <w:t>–  Subencargados: necesitan autorización escrita del responsable; encargado principal sigue siendo solidario</w:t>
      </w:r>
    </w:p>
    <w:p>
      <w:pPr>
        <w:spacing w:before="100" w:after="40"/>
        <w:ind w:left="425"/>
      </w:pPr>
      <w:r>
        <w:rPr>
          <w:rFonts w:ascii="Calibri" w:hAnsi="Calibri"/>
          <w:b/>
          <w:i w:val="0"/>
          <w:color w:val="0070C0"/>
          <w:sz w:val="24"/>
        </w:rPr>
        <w:t>▸  DPD / DPO (Delegado de Protección de Datos)</w:t>
      </w:r>
    </w:p>
    <w:p>
      <w:pPr>
        <w:spacing w:before="40" w:after="40"/>
        <w:ind w:left="850"/>
      </w:pPr>
      <w:r>
        <w:rPr>
          <w:rFonts w:ascii="Calibri" w:hAnsi="Calibri"/>
          <w:b/>
          <w:i w:val="0"/>
          <w:color w:val="468246"/>
          <w:sz w:val="22"/>
        </w:rPr>
        <w:t>–  No obligatorio (sí lo es si se adhiere al Programa de Prevención)</w:t>
      </w:r>
    </w:p>
    <w:p>
      <w:pPr>
        <w:spacing w:before="40" w:after="40"/>
        <w:ind w:left="850"/>
      </w:pPr>
      <w:r>
        <w:rPr>
          <w:rFonts w:ascii="Calibri" w:hAnsi="Calibri"/>
          <w:b/>
          <w:i w:val="0"/>
          <w:color w:val="468246"/>
          <w:sz w:val="22"/>
        </w:rPr>
        <w:t>–  Designado por la máxima autoridad</w:t>
      </w:r>
    </w:p>
    <w:p>
      <w:pPr>
        <w:spacing w:before="40" w:after="40"/>
        <w:ind w:left="850"/>
      </w:pPr>
      <w:r>
        <w:rPr>
          <w:rFonts w:ascii="Calibri" w:hAnsi="Calibri"/>
          <w:b/>
          <w:i w:val="0"/>
          <w:color w:val="468246"/>
          <w:sz w:val="22"/>
        </w:rPr>
        <w:t>–  Perfil ideal: mix legal + IT (o equipo mixto)</w:t>
      </w:r>
    </w:p>
    <w:p>
      <w:pPr>
        <w:spacing w:before="40" w:after="40"/>
        <w:ind w:left="850"/>
      </w:pPr>
      <w:r>
        <w:rPr>
          <w:rFonts w:ascii="Calibri" w:hAnsi="Calibri"/>
          <w:b/>
          <w:i w:val="0"/>
          <w:color w:val="468246"/>
          <w:sz w:val="22"/>
        </w:rPr>
        <w:t>–  Autonomía e independencia: sin conflictos de interés jerárquicos</w:t>
      </w:r>
    </w:p>
    <w:p>
      <w:pPr>
        <w:spacing w:before="40" w:after="40"/>
        <w:ind w:left="850"/>
      </w:pPr>
      <w:r>
        <w:rPr>
          <w:rFonts w:ascii="Calibri" w:hAnsi="Calibri"/>
          <w:b/>
          <w:i w:val="0"/>
          <w:color w:val="468246"/>
          <w:sz w:val="22"/>
        </w:rPr>
        <w:t>–  Funciones: asesoría / información legal / capacitación / compliance / supervisión / plan anual / riesgos / punto de contacto</w:t>
      </w:r>
    </w:p>
    <w:p>
      <w:pPr>
        <w:spacing w:before="40" w:after="40"/>
        <w:ind w:left="850"/>
      </w:pPr>
      <w:r>
        <w:rPr>
          <w:rFonts w:ascii="Calibri" w:hAnsi="Calibri"/>
          <w:b/>
          <w:i w:val="0"/>
          <w:color w:val="468246"/>
          <w:sz w:val="22"/>
        </w:rPr>
        <w:t>–  PYMES: el dueño puede asumir las funciones; grupos: un DPD para todo el grupo; puede externalizarse</w:t>
      </w:r>
    </w:p>
    <w:p>
      <w:pPr>
        <w:spacing w:before="100" w:after="40"/>
        <w:ind w:left="425"/>
      </w:pPr>
      <w:r>
        <w:rPr>
          <w:rFonts w:ascii="Calibri" w:hAnsi="Calibri"/>
          <w:b/>
          <w:i w:val="0"/>
          <w:color w:val="0070C0"/>
          <w:sz w:val="24"/>
        </w:rPr>
        <w:t>▸  PRIVACIDAD DESDE EL DISEÑO Y POR DEFECTO (Art. 14D)</w:t>
      </w:r>
    </w:p>
    <w:p>
      <w:pPr>
        <w:spacing w:before="40" w:after="40"/>
        <w:ind w:left="850"/>
      </w:pPr>
      <w:r>
        <w:rPr>
          <w:rFonts w:ascii="Calibri" w:hAnsi="Calibri"/>
          <w:b/>
          <w:i w:val="0"/>
          <w:color w:val="468246"/>
          <w:sz w:val="22"/>
        </w:rPr>
        <w:t>–  Por diseño: implementar medidas ANTES de desarrollar el sistema</w:t>
      </w:r>
    </w:p>
    <w:p>
      <w:pPr>
        <w:spacing w:before="40" w:after="40"/>
        <w:ind w:left="1276"/>
      </w:pPr>
      <w:r>
        <w:rPr>
          <w:rFonts w:ascii="Calibri" w:hAnsi="Calibri"/>
          <w:b w:val="0"/>
          <w:i w:val="0"/>
          <w:color w:val="505050"/>
          <w:sz w:val="20"/>
        </w:rPr>
        <w:t>·  Si se desarrolla sin considerarla y llega dic. 2026 → puede requerir rehacer todo</w:t>
      </w:r>
    </w:p>
    <w:p>
      <w:pPr>
        <w:spacing w:before="40" w:after="40"/>
        <w:ind w:left="850"/>
      </w:pPr>
      <w:r>
        <w:rPr>
          <w:rFonts w:ascii="Calibri" w:hAnsi="Calibri"/>
          <w:b/>
          <w:i w:val="0"/>
          <w:color w:val="468246"/>
          <w:sz w:val="22"/>
        </w:rPr>
        <w:t>–  Por defecto: configuración mínima de datos por defecto (privado, mínimo, limitado)</w:t>
      </w:r>
    </w:p>
    <w:p>
      <w:pPr>
        <w:spacing w:before="40" w:after="40"/>
        <w:ind w:left="1276"/>
      </w:pPr>
      <w:r>
        <w:rPr>
          <w:rFonts w:ascii="Calibri" w:hAnsi="Calibri"/>
          <w:b w:val="0"/>
          <w:i w:val="0"/>
          <w:color w:val="505050"/>
          <w:sz w:val="20"/>
        </w:rPr>
        <w:t>·  Perfil de red social nuevo → privado por defecto</w:t>
      </w:r>
    </w:p>
    <w:p>
      <w:pPr>
        <w:spacing w:before="40" w:after="40"/>
        <w:ind w:left="1276"/>
      </w:pPr>
      <w:r>
        <w:rPr>
          <w:rFonts w:ascii="Calibri" w:hAnsi="Calibri"/>
          <w:b w:val="0"/>
          <w:i w:val="0"/>
          <w:color w:val="505050"/>
          <w:sz w:val="20"/>
        </w:rPr>
        <w:t>·  Formulario → solo campos estrictamente necesarios</w:t>
      </w:r>
    </w:p>
    <w:p>
      <w:pPr>
        <w:spacing w:before="100" w:after="40"/>
        <w:ind w:left="425"/>
      </w:pPr>
      <w:r>
        <w:rPr>
          <w:rFonts w:ascii="Calibri" w:hAnsi="Calibri"/>
          <w:b/>
          <w:i w:val="0"/>
          <w:color w:val="0070C0"/>
          <w:sz w:val="24"/>
        </w:rPr>
        <w:t>▸  EVALUACIÓN DE IMPACTO — DPIA / EIPD (obligatoria ante alto riesgo)</w:t>
      </w:r>
    </w:p>
    <w:p>
      <w:pPr>
        <w:spacing w:before="40" w:after="40"/>
        <w:ind w:left="850"/>
      </w:pPr>
      <w:r>
        <w:rPr>
          <w:rFonts w:ascii="Calibri" w:hAnsi="Calibri"/>
          <w:b/>
          <w:i w:val="0"/>
          <w:color w:val="468246"/>
          <w:sz w:val="22"/>
        </w:rPr>
        <w:t>–  Cuándo: perfilamiento / tratamiento masivo / monitoreo sistemático / datos sensibles / nueva tecnología</w:t>
      </w:r>
    </w:p>
    <w:p>
      <w:pPr>
        <w:spacing w:before="40" w:after="40"/>
        <w:ind w:left="850"/>
      </w:pPr>
      <w:r>
        <w:rPr>
          <w:rFonts w:ascii="Calibri" w:hAnsi="Calibri"/>
          <w:b/>
          <w:i w:val="0"/>
          <w:color w:val="468246"/>
          <w:sz w:val="22"/>
        </w:rPr>
        <w:t>–  Contenido mínimo: descripción + necesidad/proporcionalidad + análisis de riesgos + mitigación</w:t>
      </w:r>
    </w:p>
    <w:p>
      <w:pPr>
        <w:spacing w:before="40" w:after="40"/>
        <w:ind w:left="850"/>
      </w:pPr>
      <w:r>
        <w:rPr>
          <w:rFonts w:ascii="Calibri" w:hAnsi="Calibri"/>
          <w:b/>
          <w:i w:val="0"/>
          <w:color w:val="468246"/>
          <w:sz w:val="22"/>
        </w:rPr>
        <w:t>–  Debe hacerse ANTES del inicio del tratamiento (no después)</w:t>
      </w:r>
    </w:p>
    <w:p>
      <w:pPr>
        <w:spacing w:before="40" w:after="40"/>
        <w:ind w:left="850"/>
      </w:pPr>
      <w:r>
        <w:rPr>
          <w:rFonts w:ascii="Calibri" w:hAnsi="Calibri"/>
          <w:b/>
          <w:i w:val="0"/>
          <w:color w:val="468246"/>
          <w:sz w:val="22"/>
        </w:rPr>
        <w:t>–  DPD debe participar en su elaboración</w:t>
      </w:r>
    </w:p>
    <w:p/>
    <w:p>
      <w:pPr>
        <w:spacing w:before="80" w:after="80"/>
      </w:pPr>
      <w:r>
        <w:rPr>
          <w:rFonts w:ascii="Calibri" w:hAnsi="Calibri"/>
          <w:b w:val="0"/>
          <w:i w:val="0"/>
          <w:color w:val="BEBEBE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Calibri" w:hAnsi="Calibri"/>
          <w:b/>
          <w:i w:val="0"/>
          <w:color w:val="00467F"/>
          <w:sz w:val="28"/>
        </w:rPr>
        <w:t>9. FRASES Y CONCEPTOS CLAVE PARA TU CONVERSACIÓN</w:t>
      </w:r>
    </w:p>
    <w:p>
      <w:pPr>
        <w:spacing w:before="160" w:after="40"/>
      </w:pPr>
      <w:r>
        <w:rPr>
          <w:rFonts w:ascii="Calibri" w:hAnsi="Calibri"/>
          <w:b/>
          <w:i w:val="0"/>
          <w:color w:val="00467F"/>
          <w:sz w:val="22"/>
        </w:rPr>
        <w:t>▸  Accountability: no basta cumplir, hay que demostrarlo</w:t>
      </w:r>
    </w:p>
    <w:p>
      <w:pPr>
        <w:spacing w:after="80"/>
        <w:ind w:left="454"/>
      </w:pPr>
      <w:r>
        <w:rPr>
          <w:rFonts w:ascii="Calibri" w:hAnsi="Calibri"/>
          <w:b w:val="0"/>
          <w:i w:val="0"/>
          <w:color w:val="3C3C3C"/>
          <w:sz w:val="20"/>
        </w:rPr>
        <w:t>El principio de responsabilidad proactiva exige documentar todo: bases de licitud, consentimientos, plazos de retención, medidas de seguridad, DPIAs. Si la Agencia fiscaliza, el responsable debe mostrar evidencia — no basta con decir 'lo hacemos bien'.</w:t>
      </w:r>
    </w:p>
    <w:p>
      <w:pPr>
        <w:spacing w:before="160" w:after="40"/>
      </w:pPr>
      <w:r>
        <w:rPr>
          <w:rFonts w:ascii="Calibri" w:hAnsi="Calibri"/>
          <w:b/>
          <w:i w:val="0"/>
          <w:color w:val="00467F"/>
          <w:sz w:val="22"/>
        </w:rPr>
        <w:t>▸  Responsable vs. Encargado: la clave es quién decide</w:t>
      </w:r>
    </w:p>
    <w:p>
      <w:pPr>
        <w:spacing w:after="80"/>
        <w:ind w:left="454"/>
      </w:pPr>
      <w:r>
        <w:rPr>
          <w:rFonts w:ascii="Calibri" w:hAnsi="Calibri"/>
          <w:b w:val="0"/>
          <w:i w:val="0"/>
          <w:color w:val="3C3C3C"/>
          <w:sz w:val="20"/>
        </w:rPr>
        <w:t>Si una entidad decide los fines y medios del tratamiento, es responsable. Si solo ejecuta instrucciones de otro, es encargado. Esta distinción determina quién responde ante la Agencia y los titulares.</w:t>
      </w:r>
    </w:p>
    <w:p>
      <w:pPr>
        <w:spacing w:before="160" w:after="40"/>
      </w:pPr>
      <w:r>
        <w:rPr>
          <w:rFonts w:ascii="Calibri" w:hAnsi="Calibri"/>
          <w:b/>
          <w:i w:val="0"/>
          <w:color w:val="00467F"/>
          <w:sz w:val="22"/>
        </w:rPr>
        <w:t>▸  El encargado que sale del guión se convierte en responsable</w:t>
      </w:r>
    </w:p>
    <w:p>
      <w:pPr>
        <w:spacing w:after="80"/>
        <w:ind w:left="454"/>
      </w:pPr>
      <w:r>
        <w:rPr>
          <w:rFonts w:ascii="Calibri" w:hAnsi="Calibri"/>
          <w:b w:val="0"/>
          <w:i w:val="0"/>
          <w:color w:val="3C3C3C"/>
          <w:sz w:val="20"/>
        </w:rPr>
        <w:t>Si el proveedor de servicios usa los datos para algo distinto a lo contratado, deja de ser encargado y pasa a ser responsable solidario. Por eso el contrato debe ser muy específico sobre qué puede y no puede hacer.</w:t>
      </w:r>
    </w:p>
    <w:p>
      <w:pPr>
        <w:spacing w:before="160" w:after="40"/>
      </w:pPr>
      <w:r>
        <w:rPr>
          <w:rFonts w:ascii="Calibri" w:hAnsi="Calibri"/>
          <w:b/>
          <w:i w:val="0"/>
          <w:color w:val="00467F"/>
          <w:sz w:val="22"/>
        </w:rPr>
        <w:t>▸  La responsabilidad solidaria no se puede delegar ni contractualizar</w:t>
      </w:r>
    </w:p>
    <w:p>
      <w:pPr>
        <w:spacing w:after="80"/>
        <w:ind w:left="454"/>
      </w:pPr>
      <w:r>
        <w:rPr>
          <w:rFonts w:ascii="Calibri" w:hAnsi="Calibri"/>
          <w:b w:val="0"/>
          <w:i w:val="0"/>
          <w:color w:val="3C3C3C"/>
          <w:sz w:val="20"/>
        </w:rPr>
        <w:t>Aunque el encargado subcontrate a un subencargado, el encargado principal sigue respondiendo solidariamente. Agregar una cláusula de exclusión de responsabilidad en el subcontrato no tiene validez legal.</w:t>
      </w:r>
    </w:p>
    <w:p>
      <w:pPr>
        <w:spacing w:before="160" w:after="40"/>
      </w:pPr>
      <w:r>
        <w:rPr>
          <w:rFonts w:ascii="Calibri" w:hAnsi="Calibri"/>
          <w:b/>
          <w:i w:val="0"/>
          <w:color w:val="00467F"/>
          <w:sz w:val="22"/>
        </w:rPr>
        <w:t>▸  El DPD ideal es un abogado con conocimiento de IT, o un informático con conocimiento legal</w:t>
      </w:r>
    </w:p>
    <w:p>
      <w:pPr>
        <w:spacing w:after="80"/>
        <w:ind w:left="454"/>
      </w:pPr>
      <w:r>
        <w:rPr>
          <w:rFonts w:ascii="Calibri" w:hAnsi="Calibri"/>
          <w:b w:val="0"/>
          <w:i w:val="0"/>
          <w:color w:val="3C3C3C"/>
          <w:sz w:val="20"/>
        </w:rPr>
        <w:t>El área de datos personales cruza ambos mundos. Un DPD puramente legal tendrá dificultades técnicas; uno puramente IT tendrá dificultades jurídicas. Lo ideal es un perfil mixto o un equipo.</w:t>
      </w:r>
    </w:p>
    <w:p>
      <w:pPr>
        <w:spacing w:before="160" w:after="40"/>
      </w:pPr>
      <w:r>
        <w:rPr>
          <w:rFonts w:ascii="Calibri" w:hAnsi="Calibri"/>
          <w:b/>
          <w:i w:val="0"/>
          <w:color w:val="00467F"/>
          <w:sz w:val="22"/>
        </w:rPr>
        <w:t>▸  Privacidad desde el diseño: el costo de hacerlo tarde es muy alto</w:t>
      </w:r>
    </w:p>
    <w:p>
      <w:pPr>
        <w:spacing w:after="80"/>
        <w:ind w:left="454"/>
      </w:pPr>
      <w:r>
        <w:rPr>
          <w:rFonts w:ascii="Calibri" w:hAnsi="Calibri"/>
          <w:b w:val="0"/>
          <w:i w:val="0"/>
          <w:color w:val="3C3C3C"/>
          <w:sz w:val="20"/>
        </w:rPr>
        <w:t>Modificar un sistema a medio desarrollar para incorporar privacidad desde el diseño puede obligar a rehacer todo el trabajo. Hay que empezar a aplicarlo ahora, en cada nuevo desarrollo o actualización.</w:t>
      </w:r>
    </w:p>
    <w:p>
      <w:pPr>
        <w:spacing w:before="160" w:after="40"/>
      </w:pPr>
      <w:r>
        <w:rPr>
          <w:rFonts w:ascii="Calibri" w:hAnsi="Calibri"/>
          <w:b/>
          <w:i w:val="0"/>
          <w:color w:val="00467F"/>
          <w:sz w:val="22"/>
        </w:rPr>
        <w:t>▸  Privacidad por defecto: el sistema nace 'cerrado'</w:t>
      </w:r>
    </w:p>
    <w:p>
      <w:pPr>
        <w:spacing w:after="80"/>
        <w:ind w:left="454"/>
      </w:pPr>
      <w:r>
        <w:rPr>
          <w:rFonts w:ascii="Calibri" w:hAnsi="Calibri"/>
          <w:b w:val="0"/>
          <w:i w:val="0"/>
          <w:color w:val="3C3C3C"/>
          <w:sz w:val="20"/>
        </w:rPr>
        <w:t>La configuración predeterminada de cualquier sistema debe ser la más restrictiva en materia de datos: solo los datos mínimos necesarios, solo para la finalidad declarada, solo accesibles por personas autorizadas.</w:t>
      </w:r>
    </w:p>
    <w:p>
      <w:pPr>
        <w:spacing w:before="160" w:after="40"/>
      </w:pPr>
      <w:r>
        <w:rPr>
          <w:rFonts w:ascii="Calibri" w:hAnsi="Calibri"/>
          <w:b/>
          <w:i w:val="0"/>
          <w:color w:val="00467F"/>
          <w:sz w:val="22"/>
        </w:rPr>
        <w:t>▸  La DPIA es obligatoria, no opcional, ante alto riesgo</w:t>
      </w:r>
    </w:p>
    <w:p>
      <w:pPr>
        <w:spacing w:after="80"/>
        <w:ind w:left="454"/>
      </w:pPr>
      <w:r>
        <w:rPr>
          <w:rFonts w:ascii="Calibri" w:hAnsi="Calibri"/>
          <w:b w:val="0"/>
          <w:i w:val="0"/>
          <w:color w:val="3C3C3C"/>
          <w:sz w:val="20"/>
        </w:rPr>
        <w:t>Perfilamiento masivo, datos sensibles, monitoreo sistemático, nuevas tecnologías: en todos estos casos la DPIA debe realizarse ANTES de iniciar el tratamiento. No hacerla cuando corresponde es una infracción.</w:t>
      </w:r>
    </w:p>
    <w:p>
      <w:pPr>
        <w:spacing w:before="160" w:after="40"/>
      </w:pPr>
      <w:r>
        <w:rPr>
          <w:rFonts w:ascii="Calibri" w:hAnsi="Calibri"/>
          <w:b/>
          <w:i w:val="0"/>
          <w:color w:val="00467F"/>
          <w:sz w:val="22"/>
        </w:rPr>
        <w:t>▸  El sector público también debe cumplir</w:t>
      </w:r>
    </w:p>
    <w:p>
      <w:pPr>
        <w:spacing w:after="80"/>
        <w:ind w:left="454"/>
      </w:pPr>
      <w:r>
        <w:rPr>
          <w:rFonts w:ascii="Calibri" w:hAnsi="Calibri"/>
          <w:b w:val="0"/>
          <w:i w:val="0"/>
          <w:color w:val="3C3C3C"/>
          <w:sz w:val="20"/>
        </w:rPr>
        <w:t>El Estado maneja los mayores volúmenes de datos personales en Chile. Los organismos públicos están igualmente obligados por la Ley 21.719 y sus encargados y responsables deben adecuarse.</w:t>
      </w:r>
    </w:p>
    <w:p>
      <w:pPr>
        <w:spacing w:before="160" w:after="40"/>
      </w:pPr>
      <w:r>
        <w:rPr>
          <w:rFonts w:ascii="Calibri" w:hAnsi="Calibri"/>
          <w:b/>
          <w:i w:val="0"/>
          <w:color w:val="00467F"/>
          <w:sz w:val="22"/>
        </w:rPr>
        <w:t>▸  El deber de confidencialidad sobrevive al contrato</w:t>
      </w:r>
    </w:p>
    <w:p>
      <w:pPr>
        <w:spacing w:after="80"/>
        <w:ind w:left="454"/>
      </w:pPr>
      <w:r>
        <w:rPr>
          <w:rFonts w:ascii="Calibri" w:hAnsi="Calibri"/>
          <w:b w:val="0"/>
          <w:i w:val="0"/>
          <w:color w:val="3C3C3C"/>
          <w:sz w:val="20"/>
        </w:rPr>
        <w:t>Cuando termina la relación laboral o el contrato de servicios, el deber de secreto sobre los datos personales tratados no desaparece. Debe estar explícitamente establecido en los contratos.</w:t>
      </w:r>
    </w:p>
    <w:p/>
    <w:p>
      <w:pPr>
        <w:jc w:val="center"/>
      </w:pPr>
      <w:r>
        <w:rPr>
          <w:rFonts w:ascii="Calibri" w:hAnsi="Calibri"/>
          <w:b w:val="0"/>
          <w:i w:val="0"/>
          <w:color w:val="969696"/>
          <w:sz w:val="18"/>
        </w:rPr>
        <w:t>Curso Probes  |  Ley 21.719 de Protección de Datos Personales  |  Módulo 4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