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Calibri" w:hAnsi="Calibri"/>
          <w:b/>
          <w:i w:val="0"/>
          <w:color w:val="00467F"/>
          <w:sz w:val="36"/>
        </w:rPr>
        <w:t>LEY 21.719 DE PROTECCIÓN DE DATOS PERSONALES</w:t>
      </w:r>
    </w:p>
    <w:p>
      <w:pPr>
        <w:jc w:val="center"/>
      </w:pPr>
      <w:r>
        <w:rPr>
          <w:rFonts w:ascii="Calibri" w:hAnsi="Calibri"/>
          <w:b w:val="0"/>
          <w:i/>
          <w:color w:val="0070C0"/>
          <w:sz w:val="26"/>
        </w:rPr>
        <w:t>Módulo 4 — Parte 2: DPIA Ejemplo, RAT, Transferencias Internacionales y Sanciones</w:t>
      </w:r>
    </w:p>
    <w:p>
      <w:pPr>
        <w:jc w:val="center"/>
      </w:pPr>
      <w:r>
        <w:rPr>
          <w:rFonts w:ascii="Calibri" w:hAnsi="Calibri"/>
          <w:b w:val="0"/>
          <w:i w:val="0"/>
          <w:color w:val="646464"/>
          <w:sz w:val="20"/>
        </w:rPr>
        <w:t>Instructor: Miguel Ángel Díaz  |  Ley 21.719 vigente desde 1° de diciembre de 2026</w:t>
      </w:r>
    </w:p>
    <w:p/>
    <w:p>
      <w:pPr>
        <w:spacing w:before="80" w:after="80"/>
      </w:pPr>
      <w:r>
        <w:rPr>
          <w:rFonts w:ascii="Calibri" w:hAnsi="Calibri"/>
          <w:b w:val="0"/>
          <w:i w:val="0"/>
          <w:color w:val="BEBEBE"/>
          <w:sz w:val="14"/>
        </w:rPr>
        <w:t>──────────────────────────────────────────────────────────────────────────────────────────</w:t>
      </w:r>
    </w:p>
    <w:p/>
    <w:p>
      <w:pPr>
        <w:spacing w:before="280" w:after="80"/>
      </w:pPr>
      <w:r>
        <w:rPr>
          <w:rFonts w:ascii="Calibri" w:hAnsi="Calibri"/>
          <w:b/>
          <w:i w:val="0"/>
          <w:color w:val="00467F"/>
          <w:sz w:val="28"/>
        </w:rPr>
        <w:t>1. RESUMEN EJECUTIVO</w:t>
      </w:r>
    </w:p>
    <w:p>
      <w:r>
        <w:rPr>
          <w:rFonts w:ascii="Calibri" w:hAnsi="Calibri"/>
          <w:b w:val="0"/>
          <w:i w:val="0"/>
          <w:sz w:val="22"/>
        </w:rPr>
        <w:t>La segunda parte del Módulo 4 desarrolla cuatro grandes herramientas prácticas de gobernanza: (1) un ejemplo completo de DPIA para un sistema de videovigilancia, paso a paso; (2) el Registro de Actividades de Tratamiento (RAT) como columna vertebral del accountability; (3) transferencias internacionales de datos y sus garantías; y (4) el Modelo de Prevención de Infracciones (voluntario pero con certificación y efecto atenuante).</w:t>
        <w:br/>
        <w:br/>
        <w:t>Cierra con el régimen sancionatorio resumido: infracciones leves (hasta 5.000 UTM), graves (hasta 10.000 UTM) y gravísimas (hasta 20.000 UTM), con posibilidad de llegar al 2% de los ingresos anuales en casos de reiteración.</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2. EJEMPLO DPIA — SISTEMA DE VIDEOVIGILANCIA</w:t>
      </w:r>
    </w:p>
    <w:p>
      <w:pPr>
        <w:spacing w:before="160" w:after="40"/>
      </w:pPr>
      <w:r>
        <w:rPr>
          <w:rFonts w:ascii="Calibri" w:hAnsi="Calibri"/>
          <w:b/>
          <w:i w:val="0"/>
          <w:color w:val="0070C0"/>
          <w:sz w:val="22"/>
        </w:rPr>
        <w:t>2.1  Objetivo y alcance del proyecto</w:t>
      </w:r>
    </w:p>
    <w:tbl>
      <w:tblPr>
        <w:tblStyle w:val="TableGrid"/>
        <w:tblW w:type="auto" w:w="0"/>
        <w:jc w:val="center"/>
        <w:tblLook w:firstColumn="1" w:firstRow="1" w:lastColumn="0" w:lastRow="0" w:noHBand="0" w:noVBand="1" w:val="04A0"/>
      </w:tblPr>
      <w:tblGrid>
        <w:gridCol w:w="4703"/>
        <w:gridCol w:w="4703"/>
      </w:tblGrid>
      <w:tr>
        <w:tc>
          <w:tcPr>
            <w:tcW w:type="dxa" w:w="2551"/>
            <w:shd w:fill="003F7F" w:val="clear"/>
          </w:tcPr>
          <w:p>
            <w:r>
              <w:rPr>
                <w:rFonts w:ascii="Calibri" w:hAnsi="Calibri"/>
                <w:b/>
                <w:i w:val="0"/>
                <w:color w:val="FFFFFF"/>
                <w:sz w:val="20"/>
              </w:rPr>
              <w:t>Elemento</w:t>
            </w:r>
          </w:p>
        </w:tc>
        <w:tc>
          <w:tcPr>
            <w:tcW w:type="dxa" w:w="7370"/>
            <w:shd w:fill="003F7F" w:val="clear"/>
          </w:tcPr>
          <w:p>
            <w:r>
              <w:rPr>
                <w:rFonts w:ascii="Calibri" w:hAnsi="Calibri"/>
                <w:b/>
                <w:i w:val="0"/>
                <w:color w:val="FFFFFF"/>
                <w:sz w:val="20"/>
              </w:rPr>
              <w:t>Detalle</w:t>
            </w:r>
          </w:p>
        </w:tc>
      </w:tr>
      <w:tr>
        <w:tc>
          <w:tcPr>
            <w:tcW w:type="dxa" w:w="2551"/>
          </w:tcPr>
          <w:p>
            <w:r>
              <w:rPr>
                <w:rFonts w:ascii="Calibri" w:hAnsi="Calibri"/>
                <w:b w:val="0"/>
                <w:i w:val="0"/>
                <w:sz w:val="20"/>
              </w:rPr>
              <w:t>Objetivo</w:t>
            </w:r>
          </w:p>
        </w:tc>
        <w:tc>
          <w:tcPr>
            <w:tcW w:type="dxa" w:w="7370"/>
          </w:tcPr>
          <w:p>
            <w:r>
              <w:rPr>
                <w:rFonts w:ascii="Calibri" w:hAnsi="Calibri"/>
                <w:b w:val="0"/>
                <w:i w:val="0"/>
                <w:sz w:val="20"/>
              </w:rPr>
              <w:t>Mejorar la seguridad física de las instalaciones y los empleados: prevenir robos y actos vandálicos, proteger bienes y personal.</w:t>
            </w:r>
          </w:p>
        </w:tc>
      </w:tr>
      <w:tr>
        <w:tc>
          <w:tcPr>
            <w:tcW w:type="dxa" w:w="2551"/>
            <w:shd w:fill="EBF3FB" w:val="clear"/>
          </w:tcPr>
          <w:p>
            <w:r>
              <w:rPr>
                <w:rFonts w:ascii="Calibri" w:hAnsi="Calibri"/>
                <w:b w:val="0"/>
                <w:i w:val="0"/>
                <w:sz w:val="20"/>
              </w:rPr>
              <w:t>Zonas cubiertas</w:t>
            </w:r>
          </w:p>
        </w:tc>
        <w:tc>
          <w:tcPr>
            <w:tcW w:type="dxa" w:w="7370"/>
            <w:shd w:fill="EBF3FB" w:val="clear"/>
          </w:tcPr>
          <w:p>
            <w:r>
              <w:rPr>
                <w:rFonts w:ascii="Calibri" w:hAnsi="Calibri"/>
                <w:b w:val="0"/>
                <w:i w:val="0"/>
                <w:sz w:val="20"/>
              </w:rPr>
              <w:t>Entradas principales, pasillos y zonas comunes, estacionamiento. EXCLUIDAS: baños y oficinas individuales.</w:t>
            </w:r>
          </w:p>
        </w:tc>
      </w:tr>
      <w:tr>
        <w:tc>
          <w:tcPr>
            <w:tcW w:type="dxa" w:w="2551"/>
          </w:tcPr>
          <w:p>
            <w:r>
              <w:rPr>
                <w:rFonts w:ascii="Calibri" w:hAnsi="Calibri"/>
                <w:b w:val="0"/>
                <w:i w:val="0"/>
                <w:sz w:val="20"/>
              </w:rPr>
              <w:t>Características técnicas</w:t>
            </w:r>
          </w:p>
        </w:tc>
        <w:tc>
          <w:tcPr>
            <w:tcW w:type="dxa" w:w="7370"/>
          </w:tcPr>
          <w:p>
            <w:r>
              <w:rPr>
                <w:rFonts w:ascii="Calibri" w:hAnsi="Calibri"/>
                <w:b w:val="0"/>
                <w:i w:val="0"/>
                <w:sz w:val="20"/>
              </w:rPr>
              <w:t>Solo captura de imagen, SIN audio. Almacenamiento de grabaciones por 30 días con borrado automático.</w:t>
            </w:r>
          </w:p>
        </w:tc>
      </w:tr>
      <w:tr>
        <w:tc>
          <w:tcPr>
            <w:tcW w:type="dxa" w:w="2551"/>
            <w:shd w:fill="EBF3FB" w:val="clear"/>
          </w:tcPr>
          <w:p>
            <w:r>
              <w:rPr>
                <w:rFonts w:ascii="Calibri" w:hAnsi="Calibri"/>
                <w:b w:val="0"/>
                <w:i w:val="0"/>
                <w:sz w:val="20"/>
              </w:rPr>
              <w:t>Finalidad exclusiva</w:t>
            </w:r>
          </w:p>
        </w:tc>
        <w:tc>
          <w:tcPr>
            <w:tcW w:type="dxa" w:w="7370"/>
            <w:shd w:fill="EBF3FB" w:val="clear"/>
          </w:tcPr>
          <w:p>
            <w:r>
              <w:rPr>
                <w:rFonts w:ascii="Calibri" w:hAnsi="Calibri"/>
                <w:b w:val="0"/>
                <w:i w:val="0"/>
                <w:sz w:val="20"/>
              </w:rPr>
              <w:t>Solo seguridad. No puede usarse para otros fines (ej.: control de productividad de empleados).</w:t>
            </w:r>
          </w:p>
        </w:tc>
      </w:tr>
      <w:tr>
        <w:tc>
          <w:tcPr>
            <w:tcW w:type="dxa" w:w="2551"/>
          </w:tcPr>
          <w:p>
            <w:r>
              <w:rPr>
                <w:rFonts w:ascii="Calibri" w:hAnsi="Calibri"/>
                <w:b w:val="0"/>
                <w:i w:val="0"/>
                <w:sz w:val="20"/>
              </w:rPr>
              <w:t>Datos personales tratados</w:t>
            </w:r>
          </w:p>
        </w:tc>
        <w:tc>
          <w:tcPr>
            <w:tcW w:type="dxa" w:w="7370"/>
          </w:tcPr>
          <w:p>
            <w:r>
              <w:rPr>
                <w:rFonts w:ascii="Calibri" w:hAnsi="Calibri"/>
                <w:b w:val="0"/>
                <w:i w:val="0"/>
                <w:sz w:val="20"/>
              </w:rPr>
              <w:t>Imágenes de empleados, visitantes y proveedores.</w:t>
            </w:r>
          </w:p>
        </w:tc>
      </w:tr>
      <w:tr>
        <w:tc>
          <w:tcPr>
            <w:tcW w:type="dxa" w:w="2551"/>
            <w:shd w:fill="EBF3FB" w:val="clear"/>
          </w:tcPr>
          <w:p>
            <w:r>
              <w:rPr>
                <w:rFonts w:ascii="Calibri" w:hAnsi="Calibri"/>
                <w:b w:val="0"/>
                <w:i w:val="0"/>
                <w:sz w:val="20"/>
              </w:rPr>
              <w:t>Base jurídica</w:t>
            </w:r>
          </w:p>
        </w:tc>
        <w:tc>
          <w:tcPr>
            <w:tcW w:type="dxa" w:w="7370"/>
            <w:shd w:fill="EBF3FB" w:val="clear"/>
          </w:tcPr>
          <w:p>
            <w:r>
              <w:rPr>
                <w:rFonts w:ascii="Calibri" w:hAnsi="Calibri"/>
                <w:b w:val="0"/>
                <w:i w:val="0"/>
                <w:sz w:val="20"/>
              </w:rPr>
              <w:t>Interés legítimo — pedir consentimiento individual sería operativamente inviable.</w:t>
            </w:r>
          </w:p>
        </w:tc>
      </w:tr>
      <w:tr>
        <w:tc>
          <w:tcPr>
            <w:tcW w:type="dxa" w:w="2551"/>
          </w:tcPr>
          <w:p>
            <w:r>
              <w:rPr>
                <w:rFonts w:ascii="Calibri" w:hAnsi="Calibri"/>
                <w:b w:val="0"/>
                <w:i w:val="0"/>
                <w:sz w:val="20"/>
              </w:rPr>
              <w:t>Sujetos afectados</w:t>
            </w:r>
          </w:p>
        </w:tc>
        <w:tc>
          <w:tcPr>
            <w:tcW w:type="dxa" w:w="7370"/>
          </w:tcPr>
          <w:p>
            <w:r>
              <w:rPr>
                <w:rFonts w:ascii="Calibri" w:hAnsi="Calibri"/>
                <w:b w:val="0"/>
                <w:i w:val="0"/>
                <w:sz w:val="20"/>
              </w:rPr>
              <w:t>Empleados, contratistas y visitantes.</w:t>
            </w:r>
          </w:p>
        </w:tc>
      </w:tr>
      <w:tr>
        <w:tc>
          <w:tcPr>
            <w:tcW w:type="dxa" w:w="2551"/>
            <w:shd w:fill="EBF3FB" w:val="clear"/>
          </w:tcPr>
          <w:p>
            <w:r>
              <w:rPr>
                <w:rFonts w:ascii="Calibri" w:hAnsi="Calibri"/>
                <w:b w:val="0"/>
                <w:i w:val="0"/>
                <w:sz w:val="20"/>
              </w:rPr>
              <w:t>Acceso a los datos</w:t>
            </w:r>
          </w:p>
        </w:tc>
        <w:tc>
          <w:tcPr>
            <w:tcW w:type="dxa" w:w="7370"/>
            <w:shd w:fill="EBF3FB" w:val="clear"/>
          </w:tcPr>
          <w:p>
            <w:r>
              <w:rPr>
                <w:rFonts w:ascii="Calibri" w:hAnsi="Calibri"/>
                <w:b w:val="0"/>
                <w:i w:val="0"/>
                <w:sz w:val="20"/>
              </w:rPr>
              <w:t>Solo: Departamento de Seguridad, Departamento de RRHH y Proveedor de Mantenimiento (bajo contrato de confidencialidad).</w:t>
            </w:r>
          </w:p>
        </w:tc>
      </w:tr>
      <w:tr>
        <w:tc>
          <w:tcPr>
            <w:tcW w:type="dxa" w:w="2551"/>
          </w:tcPr>
          <w:p>
            <w:r>
              <w:rPr>
                <w:rFonts w:ascii="Calibri" w:hAnsi="Calibri"/>
                <w:b w:val="0"/>
                <w:i w:val="0"/>
                <w:sz w:val="20"/>
              </w:rPr>
              <w:t>Transferencias internacionales</w:t>
            </w:r>
          </w:p>
        </w:tc>
        <w:tc>
          <w:tcPr>
            <w:tcW w:type="dxa" w:w="7370"/>
          </w:tcPr>
          <w:p>
            <w:r>
              <w:rPr>
                <w:rFonts w:ascii="Calibri" w:hAnsi="Calibri"/>
                <w:b w:val="0"/>
                <w:i w:val="0"/>
                <w:sz w:val="20"/>
              </w:rPr>
              <w:t>No se realizan.</w:t>
            </w:r>
          </w:p>
        </w:tc>
      </w:tr>
    </w:tbl>
    <w:p/>
    <w:p>
      <w:pPr>
        <w:spacing w:before="160" w:after="40"/>
      </w:pPr>
      <w:r>
        <w:rPr>
          <w:rFonts w:ascii="Calibri" w:hAnsi="Calibri"/>
          <w:b/>
          <w:i w:val="0"/>
          <w:color w:val="0070C0"/>
          <w:sz w:val="22"/>
        </w:rPr>
        <w:t>2.2  Justificación de proporcionalidad</w:t>
      </w:r>
    </w:p>
    <w:tbl>
      <w:tblPr>
        <w:tblStyle w:val="TableGrid"/>
        <w:tblW w:type="auto" w:w="0"/>
        <w:jc w:val="center"/>
        <w:tblLook w:firstColumn="1" w:firstRow="1" w:lastColumn="0" w:lastRow="0" w:noHBand="0" w:noVBand="1" w:val="04A0"/>
      </w:tblPr>
      <w:tblGrid>
        <w:gridCol w:w="4703"/>
        <w:gridCol w:w="4703"/>
      </w:tblGrid>
      <w:tr>
        <w:tc>
          <w:tcPr>
            <w:tcW w:type="dxa" w:w="3118"/>
            <w:shd w:fill="003F7F" w:val="clear"/>
          </w:tcPr>
          <w:p>
            <w:r>
              <w:rPr>
                <w:rFonts w:ascii="Calibri" w:hAnsi="Calibri"/>
                <w:b/>
                <w:i w:val="0"/>
                <w:color w:val="FFFFFF"/>
                <w:sz w:val="20"/>
              </w:rPr>
              <w:t>Alternativa evaluada</w:t>
            </w:r>
          </w:p>
        </w:tc>
        <w:tc>
          <w:tcPr>
            <w:tcW w:type="dxa" w:w="6803"/>
            <w:shd w:fill="003F7F" w:val="clear"/>
          </w:tcPr>
          <w:p>
            <w:r>
              <w:rPr>
                <w:rFonts w:ascii="Calibri" w:hAnsi="Calibri"/>
                <w:b/>
                <w:i w:val="0"/>
                <w:color w:val="FFFFFF"/>
                <w:sz w:val="20"/>
              </w:rPr>
              <w:t>Conclusión</w:t>
            </w:r>
          </w:p>
        </w:tc>
      </w:tr>
      <w:tr>
        <w:tc>
          <w:tcPr>
            <w:tcW w:type="dxa" w:w="3118"/>
          </w:tcPr>
          <w:p>
            <w:r>
              <w:rPr>
                <w:rFonts w:ascii="Calibri" w:hAnsi="Calibri"/>
                <w:b w:val="0"/>
                <w:i w:val="0"/>
                <w:sz w:val="20"/>
              </w:rPr>
              <w:t>Vigilante de seguridad humano</w:t>
            </w:r>
          </w:p>
        </w:tc>
        <w:tc>
          <w:tcPr>
            <w:tcW w:type="dxa" w:w="6803"/>
          </w:tcPr>
          <w:p>
            <w:r>
              <w:rPr>
                <w:rFonts w:ascii="Calibri" w:hAnsi="Calibri"/>
                <w:b w:val="0"/>
                <w:i w:val="0"/>
                <w:sz w:val="20"/>
              </w:rPr>
              <w:t>Más costoso y menos eficiente para cobertura continua — descartado.</w:t>
            </w:r>
          </w:p>
        </w:tc>
      </w:tr>
      <w:tr>
        <w:tc>
          <w:tcPr>
            <w:tcW w:type="dxa" w:w="3118"/>
            <w:shd w:fill="EBF3FB" w:val="clear"/>
          </w:tcPr>
          <w:p>
            <w:r>
              <w:rPr>
                <w:rFonts w:ascii="Calibri" w:hAnsi="Calibri"/>
                <w:b w:val="0"/>
                <w:i w:val="0"/>
                <w:sz w:val="20"/>
              </w:rPr>
              <w:t>Control de acceso biométrico</w:t>
            </w:r>
          </w:p>
        </w:tc>
        <w:tc>
          <w:tcPr>
            <w:tcW w:type="dxa" w:w="6803"/>
            <w:shd w:fill="EBF3FB" w:val="clear"/>
          </w:tcPr>
          <w:p>
            <w:r>
              <w:rPr>
                <w:rFonts w:ascii="Calibri" w:hAnsi="Calibri"/>
                <w:b w:val="0"/>
                <w:i w:val="0"/>
                <w:sz w:val="20"/>
              </w:rPr>
              <w:t>Efectivo pero excesivamente intrusivo para el objetivo buscado — descartado.</w:t>
            </w:r>
          </w:p>
        </w:tc>
      </w:tr>
      <w:tr>
        <w:tc>
          <w:tcPr>
            <w:tcW w:type="dxa" w:w="3118"/>
          </w:tcPr>
          <w:p>
            <w:r>
              <w:rPr>
                <w:rFonts w:ascii="Calibri" w:hAnsi="Calibri"/>
                <w:b w:val="0"/>
                <w:i w:val="0"/>
                <w:sz w:val="20"/>
              </w:rPr>
              <w:t>Sistema de videovigilancia (elegido)</w:t>
            </w:r>
          </w:p>
        </w:tc>
        <w:tc>
          <w:tcPr>
            <w:tcW w:type="dxa" w:w="6803"/>
          </w:tcPr>
          <w:p>
            <w:r>
              <w:rPr>
                <w:rFonts w:ascii="Calibri" w:hAnsi="Calibri"/>
                <w:b w:val="0"/>
                <w:i w:val="0"/>
                <w:sz w:val="20"/>
              </w:rPr>
              <w:t>Mejor proporción entre costo, eficacia y respeto a la privacidad.</w:t>
            </w:r>
          </w:p>
        </w:tc>
      </w:tr>
    </w:tbl>
    <w:p/>
    <w:p>
      <w:pPr>
        <w:spacing w:before="60" w:after="100"/>
        <w:ind w:left="283"/>
      </w:pPr>
      <w:r>
        <w:rPr>
          <w:rFonts w:ascii="Calibri" w:hAnsi="Calibri"/>
          <w:b w:val="0"/>
          <w:i/>
          <w:color w:val="8C0000"/>
          <w:sz w:val="20"/>
        </w:rPr>
        <w:t>⚠  La DPIA debe mencionar explícitamente las alternativas consideradas y por qué fueron descartadas. No basta con decir que el sistema elegido es proporcional.</w:t>
      </w:r>
    </w:p>
    <w:p>
      <w:pPr>
        <w:spacing w:before="160" w:after="40"/>
      </w:pPr>
      <w:r>
        <w:rPr>
          <w:rFonts w:ascii="Calibri" w:hAnsi="Calibri"/>
          <w:b/>
          <w:i w:val="0"/>
          <w:color w:val="0070C0"/>
          <w:sz w:val="22"/>
        </w:rPr>
        <w:t>2.3  Análisis de riesgos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003F7F" w:val="clear"/>
          </w:tcPr>
          <w:p>
            <w:r>
              <w:rPr>
                <w:rFonts w:ascii="Calibri" w:hAnsi="Calibri"/>
                <w:b/>
                <w:i w:val="0"/>
                <w:color w:val="FFFFFF"/>
                <w:sz w:val="20"/>
              </w:rPr>
              <w:t>Riesgo identificado</w:t>
            </w:r>
          </w:p>
        </w:tc>
        <w:tc>
          <w:tcPr>
            <w:tcW w:type="dxa" w:w="1020"/>
            <w:shd w:fill="003F7F" w:val="clear"/>
          </w:tcPr>
          <w:p>
            <w:r>
              <w:rPr>
                <w:rFonts w:ascii="Calibri" w:hAnsi="Calibri"/>
                <w:b/>
                <w:i w:val="0"/>
                <w:color w:val="FFFFFF"/>
                <w:sz w:val="20"/>
              </w:rPr>
              <w:t>Impacto</w:t>
            </w:r>
          </w:p>
        </w:tc>
        <w:tc>
          <w:tcPr>
            <w:tcW w:type="dxa" w:w="1134"/>
            <w:shd w:fill="003F7F" w:val="clear"/>
          </w:tcPr>
          <w:p>
            <w:r>
              <w:rPr>
                <w:rFonts w:ascii="Calibri" w:hAnsi="Calibri"/>
                <w:b/>
                <w:i w:val="0"/>
                <w:color w:val="FFFFFF"/>
                <w:sz w:val="20"/>
              </w:rPr>
              <w:t>Probabilidad</w:t>
            </w:r>
          </w:p>
        </w:tc>
        <w:tc>
          <w:tcPr>
            <w:tcW w:type="dxa" w:w="1247"/>
            <w:shd w:fill="003F7F" w:val="clear"/>
          </w:tcPr>
          <w:p>
            <w:r>
              <w:rPr>
                <w:rFonts w:ascii="Calibri" w:hAnsi="Calibri"/>
                <w:b/>
                <w:i w:val="0"/>
                <w:color w:val="FFFFFF"/>
                <w:sz w:val="20"/>
              </w:rPr>
              <w:t>Nivel de riesgo</w:t>
            </w:r>
          </w:p>
        </w:tc>
        <w:tc>
          <w:tcPr>
            <w:tcW w:type="dxa" w:w="3969"/>
            <w:shd w:fill="003F7F" w:val="clear"/>
          </w:tcPr>
          <w:p>
            <w:r>
              <w:rPr>
                <w:rFonts w:ascii="Calibri" w:hAnsi="Calibri"/>
                <w:b/>
                <w:i w:val="0"/>
                <w:color w:val="FFFFFF"/>
                <w:sz w:val="20"/>
              </w:rPr>
              <w:t>Medida de mitigación</w:t>
            </w:r>
          </w:p>
        </w:tc>
      </w:tr>
      <w:tr>
        <w:tc>
          <w:tcPr>
            <w:tcW w:type="dxa" w:w="2551"/>
          </w:tcPr>
          <w:p>
            <w:r>
              <w:rPr>
                <w:rFonts w:ascii="Calibri" w:hAnsi="Calibri"/>
                <w:b w:val="0"/>
                <w:i w:val="0"/>
                <w:sz w:val="20"/>
              </w:rPr>
              <w:t>Acceso no autorizado a las grabaciones</w:t>
            </w:r>
          </w:p>
        </w:tc>
        <w:tc>
          <w:tcPr>
            <w:tcW w:type="dxa" w:w="1020"/>
          </w:tcPr>
          <w:p>
            <w:r>
              <w:rPr>
                <w:rFonts w:ascii="Calibri" w:hAnsi="Calibri"/>
                <w:b w:val="0"/>
                <w:i w:val="0"/>
                <w:sz w:val="20"/>
              </w:rPr>
              <w:t>Alto</w:t>
            </w:r>
          </w:p>
        </w:tc>
        <w:tc>
          <w:tcPr>
            <w:tcW w:type="dxa" w:w="1134"/>
          </w:tcPr>
          <w:p>
            <w:r>
              <w:rPr>
                <w:rFonts w:ascii="Calibri" w:hAnsi="Calibri"/>
                <w:b w:val="0"/>
                <w:i w:val="0"/>
                <w:sz w:val="20"/>
              </w:rPr>
              <w:t>Media</w:t>
            </w:r>
          </w:p>
        </w:tc>
        <w:tc>
          <w:tcPr>
            <w:tcW w:type="dxa" w:w="1247"/>
          </w:tcPr>
          <w:p>
            <w:r>
              <w:rPr>
                <w:rFonts w:ascii="Calibri" w:hAnsi="Calibri"/>
                <w:b w:val="0"/>
                <w:i w:val="0"/>
                <w:sz w:val="20"/>
              </w:rPr>
              <w:t>ALTO</w:t>
            </w:r>
          </w:p>
        </w:tc>
        <w:tc>
          <w:tcPr>
            <w:tcW w:type="dxa" w:w="3969"/>
          </w:tcPr>
          <w:p>
            <w:r>
              <w:rPr>
                <w:rFonts w:ascii="Calibri" w:hAnsi="Calibri"/>
                <w:b w:val="0"/>
                <w:i w:val="0"/>
                <w:sz w:val="20"/>
              </w:rPr>
              <w:t>Control de accesos, cifrado de grabaciones y registro de acceso con trazabilidad completa.</w:t>
            </w:r>
          </w:p>
        </w:tc>
      </w:tr>
      <w:tr>
        <w:tc>
          <w:tcPr>
            <w:tcW w:type="dxa" w:w="2551"/>
            <w:shd w:fill="EBF3FB" w:val="clear"/>
          </w:tcPr>
          <w:p>
            <w:r>
              <w:rPr>
                <w:rFonts w:ascii="Calibri" w:hAnsi="Calibri"/>
                <w:b w:val="0"/>
                <w:i w:val="0"/>
                <w:sz w:val="20"/>
              </w:rPr>
              <w:t>Uso indebido de imágenes por personal interno</w:t>
            </w:r>
          </w:p>
        </w:tc>
        <w:tc>
          <w:tcPr>
            <w:tcW w:type="dxa" w:w="1020"/>
            <w:shd w:fill="EBF3FB" w:val="clear"/>
          </w:tcPr>
          <w:p>
            <w:r>
              <w:rPr>
                <w:rFonts w:ascii="Calibri" w:hAnsi="Calibri"/>
                <w:b w:val="0"/>
                <w:i w:val="0"/>
                <w:sz w:val="20"/>
              </w:rPr>
              <w:t>Alto</w:t>
            </w:r>
          </w:p>
        </w:tc>
        <w:tc>
          <w:tcPr>
            <w:tcW w:type="dxa" w:w="1134"/>
            <w:shd w:fill="EBF3FB" w:val="clear"/>
          </w:tcPr>
          <w:p>
            <w:r>
              <w:rPr>
                <w:rFonts w:ascii="Calibri" w:hAnsi="Calibri"/>
                <w:b w:val="0"/>
                <w:i w:val="0"/>
                <w:sz w:val="20"/>
              </w:rPr>
              <w:t>Baja</w:t>
            </w:r>
          </w:p>
        </w:tc>
        <w:tc>
          <w:tcPr>
            <w:tcW w:type="dxa" w:w="1247"/>
            <w:shd w:fill="EBF3FB" w:val="clear"/>
          </w:tcPr>
          <w:p>
            <w:r>
              <w:rPr>
                <w:rFonts w:ascii="Calibri" w:hAnsi="Calibri"/>
                <w:b w:val="0"/>
                <w:i w:val="0"/>
                <w:sz w:val="20"/>
              </w:rPr>
              <w:t>MEDIO</w:t>
            </w:r>
          </w:p>
        </w:tc>
        <w:tc>
          <w:tcPr>
            <w:tcW w:type="dxa" w:w="3969"/>
            <w:shd w:fill="EBF3FB" w:val="clear"/>
          </w:tcPr>
          <w:p>
            <w:r>
              <w:rPr>
                <w:rFonts w:ascii="Calibri" w:hAnsi="Calibri"/>
                <w:b w:val="0"/>
                <w:i w:val="0"/>
                <w:sz w:val="20"/>
              </w:rPr>
              <w:t>Política de confidencialidad obligatoria y formación periódica de empleados.</w:t>
            </w:r>
          </w:p>
        </w:tc>
      </w:tr>
      <w:tr>
        <w:tc>
          <w:tcPr>
            <w:tcW w:type="dxa" w:w="2551"/>
          </w:tcPr>
          <w:p>
            <w:r>
              <w:rPr>
                <w:rFonts w:ascii="Calibri" w:hAnsi="Calibri"/>
                <w:b w:val="0"/>
                <w:i w:val="0"/>
                <w:sz w:val="20"/>
              </w:rPr>
              <w:t>Conservación excesiva de imágenes</w:t>
            </w:r>
          </w:p>
        </w:tc>
        <w:tc>
          <w:tcPr>
            <w:tcW w:type="dxa" w:w="1020"/>
          </w:tcPr>
          <w:p>
            <w:r>
              <w:rPr>
                <w:rFonts w:ascii="Calibri" w:hAnsi="Calibri"/>
                <w:b w:val="0"/>
                <w:i w:val="0"/>
                <w:sz w:val="20"/>
              </w:rPr>
              <w:t>Medio</w:t>
            </w:r>
          </w:p>
        </w:tc>
        <w:tc>
          <w:tcPr>
            <w:tcW w:type="dxa" w:w="1134"/>
          </w:tcPr>
          <w:p>
            <w:r>
              <w:rPr>
                <w:rFonts w:ascii="Calibri" w:hAnsi="Calibri"/>
                <w:b w:val="0"/>
                <w:i w:val="0"/>
                <w:sz w:val="20"/>
              </w:rPr>
              <w:t>Media</w:t>
            </w:r>
          </w:p>
        </w:tc>
        <w:tc>
          <w:tcPr>
            <w:tcW w:type="dxa" w:w="1247"/>
          </w:tcPr>
          <w:p>
            <w:r>
              <w:rPr>
                <w:rFonts w:ascii="Calibri" w:hAnsi="Calibri"/>
                <w:b w:val="0"/>
                <w:i w:val="0"/>
                <w:sz w:val="20"/>
              </w:rPr>
              <w:t>MEDIO</w:t>
            </w:r>
          </w:p>
        </w:tc>
        <w:tc>
          <w:tcPr>
            <w:tcW w:type="dxa" w:w="3969"/>
          </w:tcPr>
          <w:p>
            <w:r>
              <w:rPr>
                <w:rFonts w:ascii="Calibri" w:hAnsi="Calibri"/>
                <w:b w:val="0"/>
                <w:i w:val="0"/>
                <w:sz w:val="20"/>
              </w:rPr>
              <w:t>Borrado automático a los 30 días, configurable en el sistema.</w:t>
            </w:r>
          </w:p>
        </w:tc>
      </w:tr>
      <w:tr>
        <w:tc>
          <w:tcPr>
            <w:tcW w:type="dxa" w:w="2551"/>
            <w:shd w:fill="EBF3FB" w:val="clear"/>
          </w:tcPr>
          <w:p>
            <w:r>
              <w:rPr>
                <w:rFonts w:ascii="Calibri" w:hAnsi="Calibri"/>
                <w:b w:val="0"/>
                <w:i w:val="0"/>
                <w:sz w:val="20"/>
              </w:rPr>
              <w:t>Falta de transparencia hacia los interesados</w:t>
            </w:r>
          </w:p>
        </w:tc>
        <w:tc>
          <w:tcPr>
            <w:tcW w:type="dxa" w:w="1020"/>
            <w:shd w:fill="EBF3FB" w:val="clear"/>
          </w:tcPr>
          <w:p>
            <w:r>
              <w:rPr>
                <w:rFonts w:ascii="Calibri" w:hAnsi="Calibri"/>
                <w:b w:val="0"/>
                <w:i w:val="0"/>
                <w:sz w:val="20"/>
              </w:rPr>
              <w:t>Medio</w:t>
            </w:r>
          </w:p>
        </w:tc>
        <w:tc>
          <w:tcPr>
            <w:tcW w:type="dxa" w:w="1134"/>
            <w:shd w:fill="EBF3FB" w:val="clear"/>
          </w:tcPr>
          <w:p>
            <w:r>
              <w:rPr>
                <w:rFonts w:ascii="Calibri" w:hAnsi="Calibri"/>
                <w:b w:val="0"/>
                <w:i w:val="0"/>
                <w:sz w:val="20"/>
              </w:rPr>
              <w:t>Baja</w:t>
            </w:r>
          </w:p>
        </w:tc>
        <w:tc>
          <w:tcPr>
            <w:tcW w:type="dxa" w:w="1247"/>
            <w:shd w:fill="EBF3FB" w:val="clear"/>
          </w:tcPr>
          <w:p>
            <w:r>
              <w:rPr>
                <w:rFonts w:ascii="Calibri" w:hAnsi="Calibri"/>
                <w:b w:val="0"/>
                <w:i w:val="0"/>
                <w:sz w:val="20"/>
              </w:rPr>
              <w:t>BAJO</w:t>
            </w:r>
          </w:p>
        </w:tc>
        <w:tc>
          <w:tcPr>
            <w:tcW w:type="dxa" w:w="3969"/>
            <w:shd w:fill="EBF3FB" w:val="clear"/>
          </w:tcPr>
          <w:p>
            <w:r>
              <w:rPr>
                <w:rFonts w:ascii="Calibri" w:hAnsi="Calibri"/>
                <w:b w:val="0"/>
                <w:i w:val="0"/>
                <w:sz w:val="20"/>
              </w:rPr>
              <w:t>Carteles informativos visibles y política de privacidad actualizada.</w:t>
            </w:r>
          </w:p>
        </w:tc>
      </w:tr>
    </w:tbl>
    <w:p/>
    <w:p>
      <w:pPr>
        <w:spacing w:before="160" w:after="40"/>
      </w:pPr>
      <w:r>
        <w:rPr>
          <w:rFonts w:ascii="Calibri" w:hAnsi="Calibri"/>
          <w:b/>
          <w:i w:val="0"/>
          <w:color w:val="0070C0"/>
          <w:sz w:val="22"/>
        </w:rPr>
        <w:t>2.4  Medidas de seguridad aplicadas</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Medida</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Cifrado de grabaciones</w:t>
            </w:r>
          </w:p>
        </w:tc>
        <w:tc>
          <w:tcPr>
            <w:tcW w:type="dxa" w:w="7087"/>
          </w:tcPr>
          <w:p>
            <w:r>
              <w:rPr>
                <w:rFonts w:ascii="Calibri" w:hAnsi="Calibri"/>
                <w:b w:val="0"/>
                <w:i w:val="0"/>
                <w:sz w:val="20"/>
              </w:rPr>
              <w:t>Imágenes almacenadas cifradas (AES-256 recomendado). Si alguien las extrae sin autorización, no puede leerlas.</w:t>
            </w:r>
          </w:p>
        </w:tc>
      </w:tr>
      <w:tr>
        <w:tc>
          <w:tcPr>
            <w:tcW w:type="dxa" w:w="2835"/>
            <w:shd w:fill="EBF3FB" w:val="clear"/>
          </w:tcPr>
          <w:p>
            <w:r>
              <w:rPr>
                <w:rFonts w:ascii="Calibri" w:hAnsi="Calibri"/>
                <w:b w:val="0"/>
                <w:i w:val="0"/>
                <w:sz w:val="20"/>
              </w:rPr>
              <w:t>Registro de acceso (log)</w:t>
            </w:r>
          </w:p>
        </w:tc>
        <w:tc>
          <w:tcPr>
            <w:tcW w:type="dxa" w:w="7087"/>
            <w:shd w:fill="EBF3FB" w:val="clear"/>
          </w:tcPr>
          <w:p>
            <w:r>
              <w:rPr>
                <w:rFonts w:ascii="Calibri" w:hAnsi="Calibri"/>
                <w:b w:val="0"/>
                <w:i w:val="0"/>
                <w:sz w:val="20"/>
              </w:rPr>
              <w:t>Trazabilidad completa de quién accede a las grabaciones, cuándo y con qué finalidad.</w:t>
            </w:r>
          </w:p>
        </w:tc>
      </w:tr>
      <w:tr>
        <w:tc>
          <w:tcPr>
            <w:tcW w:type="dxa" w:w="2835"/>
          </w:tcPr>
          <w:p>
            <w:r>
              <w:rPr>
                <w:rFonts w:ascii="Calibri" w:hAnsi="Calibri"/>
                <w:b w:val="0"/>
                <w:i w:val="0"/>
                <w:sz w:val="20"/>
              </w:rPr>
              <w:t>Contratos de confidencialidad</w:t>
            </w:r>
          </w:p>
        </w:tc>
        <w:tc>
          <w:tcPr>
            <w:tcW w:type="dxa" w:w="7087"/>
          </w:tcPr>
          <w:p>
            <w:r>
              <w:rPr>
                <w:rFonts w:ascii="Calibri" w:hAnsi="Calibri"/>
                <w:b w:val="0"/>
                <w:i w:val="0"/>
                <w:sz w:val="20"/>
              </w:rPr>
              <w:t>Todos los terceros involucrados en el mantenimiento del sistema firman acuerdo de confidencialidad.</w:t>
            </w:r>
          </w:p>
        </w:tc>
      </w:tr>
      <w:tr>
        <w:tc>
          <w:tcPr>
            <w:tcW w:type="dxa" w:w="2835"/>
            <w:shd w:fill="EBF3FB" w:val="clear"/>
          </w:tcPr>
          <w:p>
            <w:r>
              <w:rPr>
                <w:rFonts w:ascii="Calibri" w:hAnsi="Calibri"/>
                <w:b w:val="0"/>
                <w:i w:val="0"/>
                <w:sz w:val="20"/>
              </w:rPr>
              <w:t>Procedimiento documentado</w:t>
            </w:r>
          </w:p>
        </w:tc>
        <w:tc>
          <w:tcPr>
            <w:tcW w:type="dxa" w:w="7087"/>
            <w:shd w:fill="EBF3FB" w:val="clear"/>
          </w:tcPr>
          <w:p>
            <w:r>
              <w:rPr>
                <w:rFonts w:ascii="Calibri" w:hAnsi="Calibri"/>
                <w:b w:val="0"/>
                <w:i w:val="0"/>
                <w:sz w:val="20"/>
              </w:rPr>
              <w:t>Protocolo claro para gestionar derechos de los interesados (acceso, eliminación, oposición).</w:t>
            </w:r>
          </w:p>
        </w:tc>
      </w:tr>
      <w:tr>
        <w:tc>
          <w:tcPr>
            <w:tcW w:type="dxa" w:w="2835"/>
          </w:tcPr>
          <w:p>
            <w:r>
              <w:rPr>
                <w:rFonts w:ascii="Calibri" w:hAnsi="Calibri"/>
                <w:b w:val="0"/>
                <w:i w:val="0"/>
                <w:sz w:val="20"/>
              </w:rPr>
              <w:t>Evaluación anual de necesidad</w:t>
            </w:r>
          </w:p>
        </w:tc>
        <w:tc>
          <w:tcPr>
            <w:tcW w:type="dxa" w:w="7087"/>
          </w:tcPr>
          <w:p>
            <w:r>
              <w:rPr>
                <w:rFonts w:ascii="Calibri" w:hAnsi="Calibri"/>
                <w:b w:val="0"/>
                <w:i w:val="0"/>
                <w:sz w:val="20"/>
              </w:rPr>
              <w:t>Revisión periódica de la pertinencia y proporcionalidad del sistema de vigilancia.</w:t>
            </w:r>
          </w:p>
        </w:tc>
      </w:tr>
    </w:tbl>
    <w:p/>
    <w:p>
      <w:pPr>
        <w:spacing w:before="160" w:after="40"/>
      </w:pPr>
      <w:r>
        <w:rPr>
          <w:rFonts w:ascii="Calibri" w:hAnsi="Calibri"/>
          <w:b/>
          <w:i w:val="0"/>
          <w:color w:val="0070C0"/>
          <w:sz w:val="22"/>
        </w:rPr>
        <w:t>2.5  Conclusión de la DPIA</w:t>
      </w:r>
    </w:p>
    <w:p>
      <w:pPr>
        <w:ind w:left="283"/>
      </w:pPr>
      <w:r>
        <w:rPr>
          <w:rFonts w:ascii="Calibri" w:hAnsi="Calibri"/>
          <w:b w:val="0"/>
          <w:i w:val="0"/>
          <w:sz w:val="22"/>
        </w:rPr>
        <w:t>El tratamiento mediante videovigilancia NO presenta un alto riesgo residual para los derechos y libertades de los interesados (los riesgos identificados quedaron en nivel medio o bajo tras aplicar las medidas de mitigación). Por lo tanto, NO es necesario consultar previamente a la Agencia de Protección de Datos Personales para iniciar el tratamiento.</w:t>
      </w:r>
    </w:p>
    <w:p>
      <w:pPr>
        <w:spacing w:before="60" w:after="100"/>
        <w:ind w:left="283"/>
      </w:pPr>
      <w:r>
        <w:rPr>
          <w:rFonts w:ascii="Calibri" w:hAnsi="Calibri"/>
          <w:b w:val="0"/>
          <w:i/>
          <w:color w:val="8C0000"/>
          <w:sz w:val="20"/>
        </w:rPr>
        <w:t>⚠  El elaborador de la DPIA debe identificarse (habitualmente el DPD/DPO). La DPIA es un documento formal con fecha, firma y número de versión.</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3. REGISTRO DE ACTIVIDADES DE TRATAMIENTO — RAT</w:t>
      </w:r>
    </w:p>
    <w:p>
      <w:r>
        <w:rPr>
          <w:rFonts w:ascii="Calibri" w:hAnsi="Calibri"/>
          <w:b w:val="0"/>
          <w:i w:val="0"/>
          <w:sz w:val="22"/>
        </w:rPr>
        <w:t>El RAT es la herramienta central de documentación del accountability. Registra sistemáticamente todos los tratamientos de datos personales que realiza una organización. Es un requisito de la Ley 21.719 y el principal instrumento para demostrar cumplimiento ante la Agencia.</w:t>
      </w:r>
    </w:p>
    <w:p>
      <w:pPr>
        <w:spacing w:before="160" w:after="40"/>
      </w:pPr>
      <w:r>
        <w:rPr>
          <w:rFonts w:ascii="Calibri" w:hAnsi="Calibri"/>
          <w:b/>
          <w:i w:val="0"/>
          <w:color w:val="0070C0"/>
          <w:sz w:val="22"/>
        </w:rPr>
        <w:t>3.1  ¿Por qué es tan importante el RAT?</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Función del RAT</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Demostración de cumplimiento</w:t>
            </w:r>
          </w:p>
        </w:tc>
        <w:tc>
          <w:tcPr>
            <w:tcW w:type="dxa" w:w="7087"/>
          </w:tcPr>
          <w:p>
            <w:r>
              <w:rPr>
                <w:rFonts w:ascii="Calibri" w:hAnsi="Calibri"/>
                <w:b w:val="0"/>
                <w:i w:val="0"/>
                <w:sz w:val="20"/>
              </w:rPr>
              <w:t>Permite probar ante la Agencia que la organización cumple la normativa (accountability).</w:t>
            </w:r>
          </w:p>
        </w:tc>
      </w:tr>
      <w:tr>
        <w:tc>
          <w:tcPr>
            <w:tcW w:type="dxa" w:w="2835"/>
            <w:shd w:fill="EBF3FB" w:val="clear"/>
          </w:tcPr>
          <w:p>
            <w:r>
              <w:rPr>
                <w:rFonts w:ascii="Calibri" w:hAnsi="Calibri"/>
                <w:b w:val="0"/>
                <w:i w:val="0"/>
                <w:sz w:val="20"/>
              </w:rPr>
              <w:t>Transparencia y rendición de cuentas</w:t>
            </w:r>
          </w:p>
        </w:tc>
        <w:tc>
          <w:tcPr>
            <w:tcW w:type="dxa" w:w="7087"/>
            <w:shd w:fill="EBF3FB" w:val="clear"/>
          </w:tcPr>
          <w:p>
            <w:r>
              <w:rPr>
                <w:rFonts w:ascii="Calibri" w:hAnsi="Calibri"/>
                <w:b w:val="0"/>
                <w:i w:val="0"/>
                <w:sz w:val="20"/>
              </w:rPr>
              <w:t>Garantiza que los titulares puedan conocer cómo se tratan sus datos.</w:t>
            </w:r>
          </w:p>
        </w:tc>
      </w:tr>
      <w:tr>
        <w:tc>
          <w:tcPr>
            <w:tcW w:type="dxa" w:w="2835"/>
          </w:tcPr>
          <w:p>
            <w:r>
              <w:rPr>
                <w:rFonts w:ascii="Calibri" w:hAnsi="Calibri"/>
                <w:b w:val="0"/>
                <w:i w:val="0"/>
                <w:sz w:val="20"/>
              </w:rPr>
              <w:t>Centro de la gobernanza</w:t>
            </w:r>
          </w:p>
        </w:tc>
        <w:tc>
          <w:tcPr>
            <w:tcW w:type="dxa" w:w="7087"/>
          </w:tcPr>
          <w:p>
            <w:r>
              <w:rPr>
                <w:rFonts w:ascii="Calibri" w:hAnsi="Calibri"/>
                <w:b w:val="0"/>
                <w:i w:val="0"/>
                <w:sz w:val="20"/>
              </w:rPr>
              <w:t>Articula los principios de transparencia, seguridad, protección y compliance en un solo documento.</w:t>
            </w:r>
          </w:p>
        </w:tc>
      </w:tr>
      <w:tr>
        <w:tc>
          <w:tcPr>
            <w:tcW w:type="dxa" w:w="2835"/>
            <w:shd w:fill="EBF3FB" w:val="clear"/>
          </w:tcPr>
          <w:p>
            <w:r>
              <w:rPr>
                <w:rFonts w:ascii="Calibri" w:hAnsi="Calibri"/>
                <w:b w:val="0"/>
                <w:i w:val="0"/>
                <w:sz w:val="20"/>
              </w:rPr>
              <w:t>Base para la DPIA</w:t>
            </w:r>
          </w:p>
        </w:tc>
        <w:tc>
          <w:tcPr>
            <w:tcW w:type="dxa" w:w="7087"/>
            <w:shd w:fill="EBF3FB" w:val="clear"/>
          </w:tcPr>
          <w:p>
            <w:r>
              <w:rPr>
                <w:rFonts w:ascii="Calibri" w:hAnsi="Calibri"/>
                <w:b w:val="0"/>
                <w:i w:val="0"/>
                <w:sz w:val="20"/>
              </w:rPr>
              <w:t>Permite identificar qué tratamientos requieren una evaluación de impacto.</w:t>
            </w:r>
          </w:p>
        </w:tc>
      </w:tr>
    </w:tbl>
    <w:p/>
    <w:p>
      <w:pPr>
        <w:spacing w:before="160" w:after="40"/>
      </w:pPr>
      <w:r>
        <w:rPr>
          <w:rFonts w:ascii="Calibri" w:hAnsi="Calibri"/>
          <w:b/>
          <w:i w:val="0"/>
          <w:color w:val="0070C0"/>
          <w:sz w:val="22"/>
        </w:rPr>
        <w:t>3.2  Contenido mínimo de cada registro RAT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F7F" w:val="clear"/>
          </w:tcPr>
          <w:p>
            <w:r>
              <w:rPr>
                <w:rFonts w:ascii="Calibri" w:hAnsi="Calibri"/>
                <w:b/>
                <w:i w:val="0"/>
                <w:color w:val="FFFFFF"/>
                <w:sz w:val="20"/>
              </w:rPr>
              <w:t>Campo</w:t>
            </w:r>
          </w:p>
        </w:tc>
        <w:tc>
          <w:tcPr>
            <w:tcW w:type="dxa" w:w="3402"/>
            <w:shd w:fill="003F7F" w:val="clear"/>
          </w:tcPr>
          <w:p>
            <w:r>
              <w:rPr>
                <w:rFonts w:ascii="Calibri" w:hAnsi="Calibri"/>
                <w:b/>
                <w:i w:val="0"/>
                <w:color w:val="FFFFFF"/>
                <w:sz w:val="20"/>
              </w:rPr>
              <w:t>Descripción</w:t>
            </w:r>
          </w:p>
        </w:tc>
        <w:tc>
          <w:tcPr>
            <w:tcW w:type="dxa" w:w="4252"/>
            <w:shd w:fill="003F7F" w:val="clear"/>
          </w:tcPr>
          <w:p>
            <w:r>
              <w:rPr>
                <w:rFonts w:ascii="Calibri" w:hAnsi="Calibri"/>
                <w:b/>
                <w:i w:val="0"/>
                <w:color w:val="FFFFFF"/>
                <w:sz w:val="20"/>
              </w:rPr>
              <w:t>Ejemplo — Clínica Dental</w:t>
            </w:r>
          </w:p>
        </w:tc>
      </w:tr>
      <w:tr>
        <w:tc>
          <w:tcPr>
            <w:tcW w:type="dxa" w:w="2268"/>
          </w:tcPr>
          <w:p>
            <w:r>
              <w:rPr>
                <w:rFonts w:ascii="Calibri" w:hAnsi="Calibri"/>
                <w:b w:val="0"/>
                <w:i w:val="0"/>
                <w:sz w:val="20"/>
              </w:rPr>
              <w:t>Responsable / ID</w:t>
            </w:r>
          </w:p>
        </w:tc>
        <w:tc>
          <w:tcPr>
            <w:tcW w:type="dxa" w:w="3402"/>
          </w:tcPr>
          <w:p>
            <w:r>
              <w:rPr>
                <w:rFonts w:ascii="Calibri" w:hAnsi="Calibri"/>
                <w:b w:val="0"/>
                <w:i w:val="0"/>
                <w:sz w:val="20"/>
              </w:rPr>
              <w:t>Identificación del responsable del tratamiento.</w:t>
            </w:r>
          </w:p>
        </w:tc>
        <w:tc>
          <w:tcPr>
            <w:tcW w:type="dxa" w:w="4252"/>
          </w:tcPr>
          <w:p>
            <w:r>
              <w:rPr>
                <w:rFonts w:ascii="Calibri" w:hAnsi="Calibri"/>
                <w:b w:val="0"/>
                <w:i w:val="0"/>
                <w:sz w:val="20"/>
              </w:rPr>
              <w:t>Clínica Dental XYZ — RUT XX.XXX.XXX-X</w:t>
            </w:r>
          </w:p>
        </w:tc>
      </w:tr>
      <w:tr>
        <w:tc>
          <w:tcPr>
            <w:tcW w:type="dxa" w:w="2268"/>
            <w:shd w:fill="EBF3FB" w:val="clear"/>
          </w:tcPr>
          <w:p>
            <w:r>
              <w:rPr>
                <w:rFonts w:ascii="Calibri" w:hAnsi="Calibri"/>
                <w:b w:val="0"/>
                <w:i w:val="0"/>
                <w:sz w:val="20"/>
              </w:rPr>
              <w:t>Nombre del tratamiento</w:t>
            </w:r>
          </w:p>
        </w:tc>
        <w:tc>
          <w:tcPr>
            <w:tcW w:type="dxa" w:w="3402"/>
            <w:shd w:fill="EBF3FB" w:val="clear"/>
          </w:tcPr>
          <w:p>
            <w:r>
              <w:rPr>
                <w:rFonts w:ascii="Calibri" w:hAnsi="Calibri"/>
                <w:b w:val="0"/>
                <w:i w:val="0"/>
                <w:sz w:val="20"/>
              </w:rPr>
              <w:t>Denominación del proceso de tratamiento.</w:t>
            </w:r>
          </w:p>
        </w:tc>
        <w:tc>
          <w:tcPr>
            <w:tcW w:type="dxa" w:w="4252"/>
            <w:shd w:fill="EBF3FB" w:val="clear"/>
          </w:tcPr>
          <w:p>
            <w:r>
              <w:rPr>
                <w:rFonts w:ascii="Calibri" w:hAnsi="Calibri"/>
                <w:b w:val="0"/>
                <w:i w:val="0"/>
                <w:sz w:val="20"/>
              </w:rPr>
              <w:t>Gestión de fichas de pacientes</w:t>
            </w:r>
          </w:p>
        </w:tc>
      </w:tr>
      <w:tr>
        <w:tc>
          <w:tcPr>
            <w:tcW w:type="dxa" w:w="2268"/>
          </w:tcPr>
          <w:p>
            <w:r>
              <w:rPr>
                <w:rFonts w:ascii="Calibri" w:hAnsi="Calibri"/>
                <w:b w:val="0"/>
                <w:i w:val="0"/>
                <w:sz w:val="20"/>
              </w:rPr>
              <w:t>Finalidad</w:t>
            </w:r>
          </w:p>
        </w:tc>
        <w:tc>
          <w:tcPr>
            <w:tcW w:type="dxa" w:w="3402"/>
          </w:tcPr>
          <w:p>
            <w:r>
              <w:rPr>
                <w:rFonts w:ascii="Calibri" w:hAnsi="Calibri"/>
                <w:b w:val="0"/>
                <w:i w:val="0"/>
                <w:sz w:val="20"/>
              </w:rPr>
              <w:t>Para qué se tratan los datos.</w:t>
            </w:r>
          </w:p>
        </w:tc>
        <w:tc>
          <w:tcPr>
            <w:tcW w:type="dxa" w:w="4252"/>
          </w:tcPr>
          <w:p>
            <w:r>
              <w:rPr>
                <w:rFonts w:ascii="Calibri" w:hAnsi="Calibri"/>
                <w:b w:val="0"/>
                <w:i w:val="0"/>
                <w:sz w:val="20"/>
              </w:rPr>
              <w:t>Prestación de servicios médico-odontológicos</w:t>
            </w:r>
          </w:p>
        </w:tc>
      </w:tr>
      <w:tr>
        <w:tc>
          <w:tcPr>
            <w:tcW w:type="dxa" w:w="2268"/>
            <w:shd w:fill="EBF3FB" w:val="clear"/>
          </w:tcPr>
          <w:p>
            <w:r>
              <w:rPr>
                <w:rFonts w:ascii="Calibri" w:hAnsi="Calibri"/>
                <w:b w:val="0"/>
                <w:i w:val="0"/>
                <w:sz w:val="20"/>
              </w:rPr>
              <w:t>Base legal</w:t>
            </w:r>
          </w:p>
        </w:tc>
        <w:tc>
          <w:tcPr>
            <w:tcW w:type="dxa" w:w="3402"/>
            <w:shd w:fill="EBF3FB" w:val="clear"/>
          </w:tcPr>
          <w:p>
            <w:r>
              <w:rPr>
                <w:rFonts w:ascii="Calibri" w:hAnsi="Calibri"/>
                <w:b w:val="0"/>
                <w:i w:val="0"/>
                <w:sz w:val="20"/>
              </w:rPr>
              <w:t>Base de licitud concreta (no genérica).</w:t>
            </w:r>
          </w:p>
        </w:tc>
        <w:tc>
          <w:tcPr>
            <w:tcW w:type="dxa" w:w="4252"/>
            <w:shd w:fill="EBF3FB" w:val="clear"/>
          </w:tcPr>
          <w:p>
            <w:r>
              <w:rPr>
                <w:rFonts w:ascii="Calibri" w:hAnsi="Calibri"/>
                <w:b w:val="0"/>
                <w:i w:val="0"/>
                <w:sz w:val="20"/>
              </w:rPr>
              <w:t>Ejecución de contrato médico (Art. 13C)</w:t>
            </w:r>
          </w:p>
        </w:tc>
      </w:tr>
      <w:tr>
        <w:tc>
          <w:tcPr>
            <w:tcW w:type="dxa" w:w="2268"/>
          </w:tcPr>
          <w:p>
            <w:r>
              <w:rPr>
                <w:rFonts w:ascii="Calibri" w:hAnsi="Calibri"/>
                <w:b w:val="0"/>
                <w:i w:val="0"/>
                <w:sz w:val="20"/>
              </w:rPr>
              <w:t>Categoría de datos</w:t>
            </w:r>
          </w:p>
        </w:tc>
        <w:tc>
          <w:tcPr>
            <w:tcW w:type="dxa" w:w="3402"/>
          </w:tcPr>
          <w:p>
            <w:r>
              <w:rPr>
                <w:rFonts w:ascii="Calibri" w:hAnsi="Calibri"/>
                <w:b w:val="0"/>
                <w:i w:val="0"/>
                <w:sz w:val="20"/>
              </w:rPr>
              <w:t>Tipos de datos personales tratados.</w:t>
            </w:r>
          </w:p>
        </w:tc>
        <w:tc>
          <w:tcPr>
            <w:tcW w:type="dxa" w:w="4252"/>
          </w:tcPr>
          <w:p>
            <w:r>
              <w:rPr>
                <w:rFonts w:ascii="Calibri" w:hAnsi="Calibri"/>
                <w:b w:val="0"/>
                <w:i w:val="0"/>
                <w:sz w:val="20"/>
              </w:rPr>
              <w:t>Identificativos, contacto, historial médico, financiero</w:t>
            </w:r>
          </w:p>
        </w:tc>
      </w:tr>
      <w:tr>
        <w:tc>
          <w:tcPr>
            <w:tcW w:type="dxa" w:w="2268"/>
            <w:shd w:fill="EBF3FB" w:val="clear"/>
          </w:tcPr>
          <w:p>
            <w:r>
              <w:rPr>
                <w:rFonts w:ascii="Calibri" w:hAnsi="Calibri"/>
                <w:b w:val="0"/>
                <w:i w:val="0"/>
                <w:sz w:val="20"/>
              </w:rPr>
              <w:t>Categoría de titulares</w:t>
            </w:r>
          </w:p>
        </w:tc>
        <w:tc>
          <w:tcPr>
            <w:tcW w:type="dxa" w:w="3402"/>
            <w:shd w:fill="EBF3FB" w:val="clear"/>
          </w:tcPr>
          <w:p>
            <w:r>
              <w:rPr>
                <w:rFonts w:ascii="Calibri" w:hAnsi="Calibri"/>
                <w:b w:val="0"/>
                <w:i w:val="0"/>
                <w:sz w:val="20"/>
              </w:rPr>
              <w:t>A quiénes corresponden los datos.</w:t>
            </w:r>
          </w:p>
        </w:tc>
        <w:tc>
          <w:tcPr>
            <w:tcW w:type="dxa" w:w="4252"/>
            <w:shd w:fill="EBF3FB" w:val="clear"/>
          </w:tcPr>
          <w:p>
            <w:r>
              <w:rPr>
                <w:rFonts w:ascii="Calibri" w:hAnsi="Calibri"/>
                <w:b w:val="0"/>
                <w:i w:val="0"/>
                <w:sz w:val="20"/>
              </w:rPr>
              <w:t>Pacientes de la clínica</w:t>
            </w:r>
          </w:p>
        </w:tc>
      </w:tr>
      <w:tr>
        <w:tc>
          <w:tcPr>
            <w:tcW w:type="dxa" w:w="2268"/>
          </w:tcPr>
          <w:p>
            <w:r>
              <w:rPr>
                <w:rFonts w:ascii="Calibri" w:hAnsi="Calibri"/>
                <w:b w:val="0"/>
                <w:i w:val="0"/>
                <w:sz w:val="20"/>
              </w:rPr>
              <w:t>Destinatarios</w:t>
            </w:r>
          </w:p>
        </w:tc>
        <w:tc>
          <w:tcPr>
            <w:tcW w:type="dxa" w:w="3402"/>
          </w:tcPr>
          <w:p>
            <w:r>
              <w:rPr>
                <w:rFonts w:ascii="Calibri" w:hAnsi="Calibri"/>
                <w:b w:val="0"/>
                <w:i w:val="0"/>
                <w:sz w:val="20"/>
              </w:rPr>
              <w:t>A quiénes se ceden los datos.</w:t>
            </w:r>
          </w:p>
        </w:tc>
        <w:tc>
          <w:tcPr>
            <w:tcW w:type="dxa" w:w="4252"/>
          </w:tcPr>
          <w:p>
            <w:r>
              <w:rPr>
                <w:rFonts w:ascii="Calibri" w:hAnsi="Calibri"/>
                <w:b w:val="0"/>
                <w:i w:val="0"/>
                <w:sz w:val="20"/>
              </w:rPr>
              <w:t>Laboratorios, aseguradoras, obras sociales</w:t>
            </w:r>
          </w:p>
        </w:tc>
      </w:tr>
      <w:tr>
        <w:tc>
          <w:tcPr>
            <w:tcW w:type="dxa" w:w="2268"/>
            <w:shd w:fill="EBF3FB" w:val="clear"/>
          </w:tcPr>
          <w:p>
            <w:r>
              <w:rPr>
                <w:rFonts w:ascii="Calibri" w:hAnsi="Calibri"/>
                <w:b w:val="0"/>
                <w:i w:val="0"/>
                <w:sz w:val="20"/>
              </w:rPr>
              <w:t>Transferencias internacionales</w:t>
            </w:r>
          </w:p>
        </w:tc>
        <w:tc>
          <w:tcPr>
            <w:tcW w:type="dxa" w:w="3402"/>
            <w:shd w:fill="EBF3FB" w:val="clear"/>
          </w:tcPr>
          <w:p>
            <w:r>
              <w:rPr>
                <w:rFonts w:ascii="Calibri" w:hAnsi="Calibri"/>
                <w:b w:val="0"/>
                <w:i w:val="0"/>
                <w:sz w:val="20"/>
              </w:rPr>
              <w:t>¿Se transfieren datos fuera de Chile? ¿Con qué garantías?</w:t>
            </w:r>
          </w:p>
        </w:tc>
        <w:tc>
          <w:tcPr>
            <w:tcW w:type="dxa" w:w="4252"/>
            <w:shd w:fill="EBF3FB" w:val="clear"/>
          </w:tcPr>
          <w:p>
            <w:r>
              <w:rPr>
                <w:rFonts w:ascii="Calibri" w:hAnsi="Calibri"/>
                <w:b w:val="0"/>
                <w:i w:val="0"/>
                <w:sz w:val="20"/>
              </w:rPr>
              <w:t>No aplica</w:t>
            </w:r>
          </w:p>
        </w:tc>
      </w:tr>
      <w:tr>
        <w:tc>
          <w:tcPr>
            <w:tcW w:type="dxa" w:w="2268"/>
          </w:tcPr>
          <w:p>
            <w:r>
              <w:rPr>
                <w:rFonts w:ascii="Calibri" w:hAnsi="Calibri"/>
                <w:b w:val="0"/>
                <w:i w:val="0"/>
                <w:sz w:val="20"/>
              </w:rPr>
              <w:t>Plazo de conservación</w:t>
            </w:r>
          </w:p>
        </w:tc>
        <w:tc>
          <w:tcPr>
            <w:tcW w:type="dxa" w:w="3402"/>
          </w:tcPr>
          <w:p>
            <w:r>
              <w:rPr>
                <w:rFonts w:ascii="Calibri" w:hAnsi="Calibri"/>
                <w:b w:val="0"/>
                <w:i w:val="0"/>
                <w:sz w:val="20"/>
              </w:rPr>
              <w:t>Cuánto tiempo se guardan los datos.</w:t>
            </w:r>
          </w:p>
        </w:tc>
        <w:tc>
          <w:tcPr>
            <w:tcW w:type="dxa" w:w="4252"/>
          </w:tcPr>
          <w:p>
            <w:r>
              <w:rPr>
                <w:rFonts w:ascii="Calibri" w:hAnsi="Calibri"/>
                <w:b w:val="0"/>
                <w:i w:val="0"/>
                <w:sz w:val="20"/>
              </w:rPr>
              <w:t>10 años desde la última consulta</w:t>
            </w:r>
          </w:p>
        </w:tc>
      </w:tr>
      <w:tr>
        <w:tc>
          <w:tcPr>
            <w:tcW w:type="dxa" w:w="2268"/>
            <w:shd w:fill="EBF3FB" w:val="clear"/>
          </w:tcPr>
          <w:p>
            <w:r>
              <w:rPr>
                <w:rFonts w:ascii="Calibri" w:hAnsi="Calibri"/>
                <w:b w:val="0"/>
                <w:i w:val="0"/>
                <w:sz w:val="20"/>
              </w:rPr>
              <w:t>Medidas de seguridad</w:t>
            </w:r>
          </w:p>
        </w:tc>
        <w:tc>
          <w:tcPr>
            <w:tcW w:type="dxa" w:w="3402"/>
            <w:shd w:fill="EBF3FB" w:val="clear"/>
          </w:tcPr>
          <w:p>
            <w:r>
              <w:rPr>
                <w:rFonts w:ascii="Calibri" w:hAnsi="Calibri"/>
                <w:b w:val="0"/>
                <w:i w:val="0"/>
                <w:sz w:val="20"/>
              </w:rPr>
              <w:t>Controles técnicos y organizativos aplicados.</w:t>
            </w:r>
          </w:p>
        </w:tc>
        <w:tc>
          <w:tcPr>
            <w:tcW w:type="dxa" w:w="4252"/>
            <w:shd w:fill="EBF3FB" w:val="clear"/>
          </w:tcPr>
          <w:p>
            <w:r>
              <w:rPr>
                <w:rFonts w:ascii="Calibri" w:hAnsi="Calibri"/>
                <w:b w:val="0"/>
                <w:i w:val="0"/>
                <w:sz w:val="20"/>
              </w:rPr>
              <w:t>Cifrado AES-256, control de acceso por rol, backup semestral</w:t>
            </w:r>
          </w:p>
        </w:tc>
      </w:tr>
    </w:tbl>
    <w:p/>
    <w:p>
      <w:pPr>
        <w:spacing w:before="160" w:after="40"/>
      </w:pPr>
      <w:r>
        <w:rPr>
          <w:rFonts w:ascii="Calibri" w:hAnsi="Calibri"/>
          <w:b/>
          <w:i w:val="0"/>
          <w:color w:val="0070C0"/>
          <w:sz w:val="22"/>
        </w:rPr>
        <w:t>3.3  Buenas prácticas para mantener el RAT</w:t>
      </w:r>
    </w:p>
    <w:p>
      <w:pPr>
        <w:pStyle w:val="ListBullet"/>
        <w:spacing w:after="40"/>
      </w:pPr>
      <w:r>
        <w:rPr>
          <w:rFonts w:ascii="Calibri" w:hAnsi="Calibri"/>
          <w:b/>
          <w:i w:val="0"/>
          <w:color w:val="00467F"/>
          <w:sz w:val="22"/>
        </w:rPr>
        <w:t xml:space="preserve">①  </w:t>
      </w:r>
      <w:r>
        <w:rPr>
          <w:rFonts w:ascii="Calibri" w:hAnsi="Calibri"/>
          <w:b w:val="0"/>
          <w:i w:val="0"/>
          <w:color w:val="282828"/>
          <w:sz w:val="22"/>
        </w:rPr>
        <w:t>Tratarlo como documento VIVO: actualizar ante cada nuevo tratamiento o cambio de finalidad.</w:t>
      </w:r>
    </w:p>
    <w:p>
      <w:pPr>
        <w:pStyle w:val="ListBullet"/>
        <w:spacing w:after="40"/>
      </w:pPr>
      <w:r>
        <w:rPr>
          <w:rFonts w:ascii="Calibri" w:hAnsi="Calibri"/>
          <w:b/>
          <w:i w:val="0"/>
          <w:color w:val="00467F"/>
          <w:sz w:val="22"/>
        </w:rPr>
        <w:t xml:space="preserve">②  </w:t>
      </w:r>
      <w:r>
        <w:rPr>
          <w:rFonts w:ascii="Calibri" w:hAnsi="Calibri"/>
          <w:b w:val="0"/>
          <w:i w:val="0"/>
          <w:color w:val="282828"/>
          <w:sz w:val="22"/>
        </w:rPr>
        <w:t>Documentar la base legal de forma concreta y específica (no basta con 'interés legítimo': indicar el Art. y el interés concreto).</w:t>
      </w:r>
    </w:p>
    <w:p>
      <w:pPr>
        <w:pStyle w:val="ListBullet"/>
        <w:spacing w:after="40"/>
      </w:pPr>
      <w:r>
        <w:rPr>
          <w:rFonts w:ascii="Calibri" w:hAnsi="Calibri"/>
          <w:b/>
          <w:i w:val="0"/>
          <w:color w:val="00467F"/>
          <w:sz w:val="22"/>
        </w:rPr>
        <w:t xml:space="preserve">③  </w:t>
      </w:r>
      <w:r>
        <w:rPr>
          <w:rFonts w:ascii="Calibri" w:hAnsi="Calibri"/>
          <w:b w:val="0"/>
          <w:i w:val="0"/>
          <w:color w:val="282828"/>
          <w:sz w:val="22"/>
        </w:rPr>
        <w:t>Detallar medidas de seguridad precisas, no genéricas ('tenemos antivirus' no es suficiente).</w:t>
      </w:r>
    </w:p>
    <w:p>
      <w:pPr>
        <w:pStyle w:val="ListBullet"/>
        <w:spacing w:after="40"/>
      </w:pPr>
      <w:r>
        <w:rPr>
          <w:rFonts w:ascii="Calibri" w:hAnsi="Calibri"/>
          <w:b/>
          <w:i w:val="0"/>
          <w:color w:val="00467F"/>
          <w:sz w:val="22"/>
        </w:rPr>
        <w:t xml:space="preserve">④  </w:t>
      </w:r>
      <w:r>
        <w:rPr>
          <w:rFonts w:ascii="Calibri" w:hAnsi="Calibri"/>
          <w:b w:val="0"/>
          <w:i w:val="0"/>
          <w:color w:val="282828"/>
          <w:sz w:val="22"/>
        </w:rPr>
        <w:t>Definir criterios claros de retención y supresión: plazos exactos por tipo de dato.</w:t>
      </w:r>
    </w:p>
    <w:p>
      <w:pPr>
        <w:pStyle w:val="ListBullet"/>
        <w:spacing w:after="40"/>
      </w:pPr>
      <w:r>
        <w:rPr>
          <w:rFonts w:ascii="Calibri" w:hAnsi="Calibri"/>
          <w:b/>
          <w:i w:val="0"/>
          <w:color w:val="00467F"/>
          <w:sz w:val="22"/>
        </w:rPr>
        <w:t xml:space="preserve">⑤  </w:t>
      </w:r>
      <w:r>
        <w:rPr>
          <w:rFonts w:ascii="Calibri" w:hAnsi="Calibri"/>
          <w:b w:val="0"/>
          <w:i w:val="0"/>
          <w:color w:val="282828"/>
          <w:sz w:val="22"/>
        </w:rPr>
        <w:t>Identificar tratamientos de alto riesgo dentro del RAT y vincularlos a su DPIA correspondiente.</w:t>
      </w:r>
    </w:p>
    <w:p>
      <w:pPr>
        <w:pStyle w:val="ListBullet"/>
        <w:spacing w:after="40"/>
      </w:pPr>
      <w:r>
        <w:rPr>
          <w:rFonts w:ascii="Calibri" w:hAnsi="Calibri"/>
          <w:b/>
          <w:i w:val="0"/>
          <w:color w:val="00467F"/>
          <w:sz w:val="22"/>
        </w:rPr>
        <w:t xml:space="preserve">⑥  </w:t>
      </w:r>
      <w:r>
        <w:rPr>
          <w:rFonts w:ascii="Calibri" w:hAnsi="Calibri"/>
          <w:b w:val="0"/>
          <w:i w:val="0"/>
          <w:color w:val="282828"/>
          <w:sz w:val="22"/>
        </w:rPr>
        <w:t>Asignar un responsable interno por cada tratamiento registrado.</w:t>
      </w:r>
    </w:p>
    <w:p>
      <w:pPr>
        <w:pStyle w:val="ListBullet"/>
        <w:spacing w:after="40"/>
      </w:pPr>
      <w:r>
        <w:rPr>
          <w:rFonts w:ascii="Calibri" w:hAnsi="Calibri"/>
          <w:b/>
          <w:i w:val="0"/>
          <w:color w:val="00467F"/>
          <w:sz w:val="22"/>
        </w:rPr>
        <w:t xml:space="preserve">⑦  </w:t>
      </w:r>
      <w:r>
        <w:rPr>
          <w:rFonts w:ascii="Calibri" w:hAnsi="Calibri"/>
          <w:b w:val="0"/>
          <w:i w:val="0"/>
          <w:color w:val="282828"/>
          <w:sz w:val="22"/>
        </w:rPr>
        <w:t>Revisar el RAT al menos anualmente y conservar historial de versiones.</w:t>
      </w:r>
    </w:p>
    <w:p>
      <w:pPr>
        <w:pStyle w:val="ListBullet"/>
        <w:spacing w:after="40"/>
      </w:pPr>
      <w:r>
        <w:rPr>
          <w:rFonts w:ascii="Calibri" w:hAnsi="Calibri"/>
          <w:b/>
          <w:i w:val="0"/>
          <w:color w:val="00467F"/>
          <w:sz w:val="22"/>
        </w:rPr>
        <w:t xml:space="preserve">⑧  </w:t>
      </w:r>
      <w:r>
        <w:rPr>
          <w:rFonts w:ascii="Calibri" w:hAnsi="Calibri"/>
          <w:b w:val="0"/>
          <w:i w:val="0"/>
          <w:color w:val="282828"/>
          <w:sz w:val="22"/>
        </w:rPr>
        <w:t>Garantizar la integridad del registro: registrar quién aprobó los cambios y cuándo.</w:t>
      </w:r>
    </w:p>
    <w:p>
      <w:pPr>
        <w:spacing w:before="60" w:after="100"/>
        <w:ind w:left="283"/>
      </w:pPr>
      <w:r>
        <w:rPr>
          <w:rFonts w:ascii="Calibri" w:hAnsi="Calibri"/>
          <w:b w:val="0"/>
          <w:i/>
          <w:color w:val="8C0000"/>
          <w:sz w:val="20"/>
        </w:rPr>
        <w:t>⚠  El RAT no es solo una obligación legal: es una herramienta de gestión de riesgo. Al construirlo se detectan tratamientos innecesarios, bases de licitud incorrectas y plazos de retención excesivos.</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4. TRANSFERENCIAS INTERNACIONALES DE DATOS</w:t>
      </w:r>
    </w:p>
    <w:p>
      <w:r>
        <w:rPr>
          <w:rFonts w:ascii="Calibri" w:hAnsi="Calibri"/>
          <w:b w:val="0"/>
          <w:i w:val="0"/>
          <w:sz w:val="22"/>
        </w:rPr>
        <w:t>Cuando los datos personales se transfieren fuera de Chile, se requieren garantías adicionales para asegurar que el país o entidad receptora ofrece un nivel de protección adecuado.</w:t>
      </w:r>
    </w:p>
    <w:p>
      <w:pPr>
        <w:spacing w:before="160" w:after="40"/>
      </w:pPr>
      <w:r>
        <w:rPr>
          <w:rFonts w:ascii="Calibri" w:hAnsi="Calibri"/>
          <w:b/>
          <w:i w:val="0"/>
          <w:color w:val="0070C0"/>
          <w:sz w:val="22"/>
        </w:rPr>
        <w:t>4.1  Riesgo oculto: el almacenamiento en la nube</w:t>
      </w:r>
    </w:p>
    <w:p>
      <w:pPr>
        <w:ind w:left="283"/>
      </w:pPr>
      <w:r>
        <w:rPr>
          <w:rFonts w:ascii="Calibri" w:hAnsi="Calibri"/>
          <w:b w:val="0"/>
          <w:i/>
          <w:color w:val="3C3C3C"/>
          <w:sz w:val="22"/>
        </w:rPr>
        <w:t>Al contratar un servicio de cloud hosting o almacenamiento externo sin verificar la ubicación de los servidores, una organización puede estar realizando transferencias internacionales de datos sin saberlo. Si los servidores están en un país con baja protección de datos, se incurre en infracción.</w:t>
      </w:r>
    </w:p>
    <w:p>
      <w:pPr>
        <w:spacing w:before="160" w:after="40"/>
      </w:pPr>
      <w:r>
        <w:rPr>
          <w:rFonts w:ascii="Calibri" w:hAnsi="Calibri"/>
          <w:b/>
          <w:i w:val="0"/>
          <w:color w:val="0070C0"/>
          <w:sz w:val="22"/>
        </w:rPr>
        <w:t>4.2  Mecanismos de garantía para transferencias internacionales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F7F" w:val="clear"/>
          </w:tcPr>
          <w:p>
            <w:r>
              <w:rPr>
                <w:rFonts w:ascii="Calibri" w:hAnsi="Calibri"/>
                <w:b/>
                <w:i w:val="0"/>
                <w:color w:val="FFFFFF"/>
                <w:sz w:val="20"/>
              </w:rPr>
              <w:t>Mecanismo</w:t>
            </w:r>
          </w:p>
        </w:tc>
        <w:tc>
          <w:tcPr>
            <w:tcW w:type="dxa" w:w="4252"/>
            <w:shd w:fill="003F7F" w:val="clear"/>
          </w:tcPr>
          <w:p>
            <w:r>
              <w:rPr>
                <w:rFonts w:ascii="Calibri" w:hAnsi="Calibri"/>
                <w:b/>
                <w:i w:val="0"/>
                <w:color w:val="FFFFFF"/>
                <w:sz w:val="20"/>
              </w:rPr>
              <w:t>Descripción</w:t>
            </w:r>
          </w:p>
        </w:tc>
        <w:tc>
          <w:tcPr>
            <w:tcW w:type="dxa" w:w="3402"/>
            <w:shd w:fill="003F7F" w:val="clear"/>
          </w:tcPr>
          <w:p>
            <w:r>
              <w:rPr>
                <w:rFonts w:ascii="Calibri" w:hAnsi="Calibri"/>
                <w:b/>
                <w:i w:val="0"/>
                <w:color w:val="FFFFFF"/>
                <w:sz w:val="20"/>
              </w:rPr>
              <w:t>Estado Chile</w:t>
            </w:r>
          </w:p>
        </w:tc>
      </w:tr>
      <w:tr>
        <w:tc>
          <w:tcPr>
            <w:tcW w:type="dxa" w:w="2268"/>
          </w:tcPr>
          <w:p>
            <w:r>
              <w:rPr>
                <w:rFonts w:ascii="Calibri" w:hAnsi="Calibri"/>
                <w:b w:val="0"/>
                <w:i w:val="0"/>
                <w:sz w:val="20"/>
              </w:rPr>
              <w:t>Decisión de adecuación (RGPD)</w:t>
            </w:r>
          </w:p>
        </w:tc>
        <w:tc>
          <w:tcPr>
            <w:tcW w:type="dxa" w:w="4252"/>
          </w:tcPr>
          <w:p>
            <w:r>
              <w:rPr>
                <w:rFonts w:ascii="Calibri" w:hAnsi="Calibri"/>
                <w:b w:val="0"/>
                <w:i w:val="0"/>
                <w:sz w:val="20"/>
              </w:rPr>
              <w:t>La UE reconoce a ciertos países como seguros. Permite transferir datos libremente hacia ellos.</w:t>
            </w:r>
          </w:p>
        </w:tc>
        <w:tc>
          <w:tcPr>
            <w:tcW w:type="dxa" w:w="3402"/>
          </w:tcPr>
          <w:p>
            <w:r>
              <w:rPr>
                <w:rFonts w:ascii="Calibri" w:hAnsi="Calibri"/>
                <w:b w:val="0"/>
                <w:i w:val="0"/>
                <w:sz w:val="20"/>
              </w:rPr>
              <w:t>Chile NO está en la lista aún. Argentina y Uruguay SÍ. Se espera adecuación tras la entrada en vigor de la Ley 21.719.</w:t>
            </w:r>
          </w:p>
        </w:tc>
      </w:tr>
      <w:tr>
        <w:tc>
          <w:tcPr>
            <w:tcW w:type="dxa" w:w="2268"/>
            <w:shd w:fill="EBF3FB" w:val="clear"/>
          </w:tcPr>
          <w:p>
            <w:r>
              <w:rPr>
                <w:rFonts w:ascii="Calibri" w:hAnsi="Calibri"/>
                <w:b w:val="0"/>
                <w:i w:val="0"/>
                <w:sz w:val="20"/>
              </w:rPr>
              <w:t>Cláusulas Contractuales Tipo (SCC)</w:t>
            </w:r>
          </w:p>
        </w:tc>
        <w:tc>
          <w:tcPr>
            <w:tcW w:type="dxa" w:w="4252"/>
            <w:shd w:fill="EBF3FB" w:val="clear"/>
          </w:tcPr>
          <w:p>
            <w:r>
              <w:rPr>
                <w:rFonts w:ascii="Calibri" w:hAnsi="Calibri"/>
                <w:b w:val="0"/>
                <w:i w:val="0"/>
                <w:sz w:val="20"/>
              </w:rPr>
              <w:t>Contratos estándar aprobados por la UE que imponen obligaciones de protección al receptor de los datos.</w:t>
            </w:r>
          </w:p>
        </w:tc>
        <w:tc>
          <w:tcPr>
            <w:tcW w:type="dxa" w:w="3402"/>
            <w:shd w:fill="EBF3FB" w:val="clear"/>
          </w:tcPr>
          <w:p>
            <w:r>
              <w:rPr>
                <w:rFonts w:ascii="Calibri" w:hAnsi="Calibri"/>
                <w:b w:val="0"/>
                <w:i w:val="0"/>
                <w:sz w:val="20"/>
              </w:rPr>
              <w:t>Mecanismo más usado actualmente para transferencias fuera de países adecuados.</w:t>
            </w:r>
          </w:p>
        </w:tc>
      </w:tr>
      <w:tr>
        <w:tc>
          <w:tcPr>
            <w:tcW w:type="dxa" w:w="2268"/>
          </w:tcPr>
          <w:p>
            <w:r>
              <w:rPr>
                <w:rFonts w:ascii="Calibri" w:hAnsi="Calibri"/>
                <w:b w:val="0"/>
                <w:i w:val="0"/>
                <w:sz w:val="20"/>
              </w:rPr>
              <w:t>Normas Corporativas Vinculantes (BCR)</w:t>
            </w:r>
          </w:p>
        </w:tc>
        <w:tc>
          <w:tcPr>
            <w:tcW w:type="dxa" w:w="4252"/>
          </w:tcPr>
          <w:p>
            <w:r>
              <w:rPr>
                <w:rFonts w:ascii="Calibri" w:hAnsi="Calibri"/>
                <w:b w:val="0"/>
                <w:i w:val="0"/>
                <w:sz w:val="20"/>
              </w:rPr>
              <w:t>Reglas internas de grupos multinacionales aprobadas por la autoridad de control.</w:t>
            </w:r>
          </w:p>
        </w:tc>
        <w:tc>
          <w:tcPr>
            <w:tcW w:type="dxa" w:w="3402"/>
          </w:tcPr>
          <w:p>
            <w:r>
              <w:rPr>
                <w:rFonts w:ascii="Calibri" w:hAnsi="Calibri"/>
                <w:b w:val="0"/>
                <w:i w:val="0"/>
                <w:sz w:val="20"/>
              </w:rPr>
              <w:t>Para grupos empresariales con operaciones en múltiples países.</w:t>
            </w:r>
          </w:p>
        </w:tc>
      </w:tr>
      <w:tr>
        <w:tc>
          <w:tcPr>
            <w:tcW w:type="dxa" w:w="2268"/>
            <w:shd w:fill="EBF3FB" w:val="clear"/>
          </w:tcPr>
          <w:p>
            <w:r>
              <w:rPr>
                <w:rFonts w:ascii="Calibri" w:hAnsi="Calibri"/>
                <w:b w:val="0"/>
                <w:i w:val="0"/>
                <w:sz w:val="20"/>
              </w:rPr>
              <w:t>Consentimiento explícito del titular</w:t>
            </w:r>
          </w:p>
        </w:tc>
        <w:tc>
          <w:tcPr>
            <w:tcW w:type="dxa" w:w="4252"/>
            <w:shd w:fill="EBF3FB" w:val="clear"/>
          </w:tcPr>
          <w:p>
            <w:r>
              <w:rPr>
                <w:rFonts w:ascii="Calibri" w:hAnsi="Calibri"/>
                <w:b w:val="0"/>
                <w:i w:val="0"/>
                <w:sz w:val="20"/>
              </w:rPr>
              <w:t>El titular autoriza expresamente la transferencia internacional.</w:t>
            </w:r>
          </w:p>
        </w:tc>
        <w:tc>
          <w:tcPr>
            <w:tcW w:type="dxa" w:w="3402"/>
            <w:shd w:fill="EBF3FB" w:val="clear"/>
          </w:tcPr>
          <w:p>
            <w:r>
              <w:rPr>
                <w:rFonts w:ascii="Calibri" w:hAnsi="Calibri"/>
                <w:b w:val="0"/>
                <w:i w:val="0"/>
                <w:sz w:val="20"/>
              </w:rPr>
              <w:t>Válido como alternativa pero difícil de gestionar a escala.</w:t>
            </w:r>
          </w:p>
        </w:tc>
      </w:tr>
    </w:tbl>
    <w:p/>
    <w:p>
      <w:pPr>
        <w:spacing w:before="60" w:after="100"/>
        <w:ind w:left="283"/>
      </w:pPr>
      <w:r>
        <w:rPr>
          <w:rFonts w:ascii="Calibri" w:hAnsi="Calibri"/>
          <w:b w:val="0"/>
          <w:i/>
          <w:color w:val="8C0000"/>
          <w:sz w:val="20"/>
        </w:rPr>
        <w:t>⚠  El RAT debe registrar si hay transferencias internacionales, el país de destino y el mecanismo de garantía utilizado. Omitirlo puede constituir infracción.</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5. MODELO DE PREVENCIÓN DE INFRACCIONES</w:t>
      </w:r>
    </w:p>
    <w:p>
      <w:r>
        <w:rPr>
          <w:rFonts w:ascii="Calibri" w:hAnsi="Calibri"/>
          <w:b w:val="0"/>
          <w:i w:val="0"/>
          <w:sz w:val="22"/>
        </w:rPr>
        <w:t>Programa VOLUNTARIO de cumplimiento que los responsables pueden adoptar para demostrar compromiso con la protección de datos. Definido en la Ley 21.719.</w:t>
      </w:r>
    </w:p>
    <w:p>
      <w:pPr>
        <w:spacing w:before="160" w:after="40"/>
      </w:pPr>
      <w:r>
        <w:rPr>
          <w:rFonts w:ascii="Calibri" w:hAnsi="Calibri"/>
          <w:b/>
          <w:i w:val="0"/>
          <w:color w:val="0070C0"/>
          <w:sz w:val="22"/>
        </w:rPr>
        <w:t>5.1  Elementos obligatorios del modelo</w:t>
      </w:r>
    </w:p>
    <w:tbl>
      <w:tblPr>
        <w:tblStyle w:val="TableGrid"/>
        <w:tblW w:type="auto" w:w="0"/>
        <w:jc w:val="center"/>
        <w:tblLook w:firstColumn="1" w:firstRow="1" w:lastColumn="0" w:lastRow="0" w:noHBand="0" w:noVBand="1" w:val="04A0"/>
      </w:tblPr>
      <w:tblGrid>
        <w:gridCol w:w="4703"/>
        <w:gridCol w:w="4703"/>
      </w:tblGrid>
      <w:tr>
        <w:tc>
          <w:tcPr>
            <w:tcW w:type="dxa" w:w="2268"/>
            <w:shd w:fill="003F7F" w:val="clear"/>
          </w:tcPr>
          <w:p>
            <w:r>
              <w:rPr>
                <w:rFonts w:ascii="Calibri" w:hAnsi="Calibri"/>
                <w:b/>
                <w:i w:val="0"/>
                <w:color w:val="FFFFFF"/>
                <w:sz w:val="20"/>
              </w:rPr>
              <w:t>Elemento</w:t>
            </w:r>
          </w:p>
        </w:tc>
        <w:tc>
          <w:tcPr>
            <w:tcW w:type="dxa" w:w="7654"/>
            <w:shd w:fill="003F7F" w:val="clear"/>
          </w:tcPr>
          <w:p>
            <w:r>
              <w:rPr>
                <w:rFonts w:ascii="Calibri" w:hAnsi="Calibri"/>
                <w:b/>
                <w:i w:val="0"/>
                <w:color w:val="FFFFFF"/>
                <w:sz w:val="20"/>
              </w:rPr>
              <w:t>Descripción</w:t>
            </w:r>
          </w:p>
        </w:tc>
      </w:tr>
      <w:tr>
        <w:tc>
          <w:tcPr>
            <w:tcW w:type="dxa" w:w="2268"/>
          </w:tcPr>
          <w:p>
            <w:r>
              <w:rPr>
                <w:rFonts w:ascii="Calibri" w:hAnsi="Calibri"/>
                <w:b w:val="0"/>
                <w:i w:val="0"/>
                <w:sz w:val="20"/>
              </w:rPr>
              <w:t>① Designación del DPD</w:t>
            </w:r>
          </w:p>
        </w:tc>
        <w:tc>
          <w:tcPr>
            <w:tcW w:type="dxa" w:w="7654"/>
          </w:tcPr>
          <w:p>
            <w:r>
              <w:rPr>
                <w:rFonts w:ascii="Calibri" w:hAnsi="Calibri"/>
                <w:b w:val="0"/>
                <w:i w:val="0"/>
                <w:sz w:val="20"/>
              </w:rPr>
              <w:t>Al adherir al modelo, el DPD se vuelve OBLIGATORIO (no voluntario).</w:t>
            </w:r>
          </w:p>
        </w:tc>
      </w:tr>
      <w:tr>
        <w:tc>
          <w:tcPr>
            <w:tcW w:type="dxa" w:w="2268"/>
            <w:shd w:fill="EBF3FB" w:val="clear"/>
          </w:tcPr>
          <w:p>
            <w:r>
              <w:rPr>
                <w:rFonts w:ascii="Calibri" w:hAnsi="Calibri"/>
                <w:b w:val="0"/>
                <w:i w:val="0"/>
                <w:sz w:val="20"/>
              </w:rPr>
              <w:t>② Medios y facultades del DPD</w:t>
            </w:r>
          </w:p>
        </w:tc>
        <w:tc>
          <w:tcPr>
            <w:tcW w:type="dxa" w:w="7654"/>
            <w:shd w:fill="EBF3FB" w:val="clear"/>
          </w:tcPr>
          <w:p>
            <w:r>
              <w:rPr>
                <w:rFonts w:ascii="Calibri" w:hAnsi="Calibri"/>
                <w:b w:val="0"/>
                <w:i w:val="0"/>
                <w:sz w:val="20"/>
              </w:rPr>
              <w:t>El responsable debe garantizar que el DPD cuente con todos los recursos para ejercer sus funciones.</w:t>
            </w:r>
          </w:p>
        </w:tc>
      </w:tr>
      <w:tr>
        <w:tc>
          <w:tcPr>
            <w:tcW w:type="dxa" w:w="2268"/>
          </w:tcPr>
          <w:p>
            <w:r>
              <w:rPr>
                <w:rFonts w:ascii="Calibri" w:hAnsi="Calibri"/>
                <w:b w:val="0"/>
                <w:i w:val="0"/>
                <w:sz w:val="20"/>
              </w:rPr>
              <w:t>③ Identificación de riesgo</w:t>
            </w:r>
          </w:p>
        </w:tc>
        <w:tc>
          <w:tcPr>
            <w:tcW w:type="dxa" w:w="7654"/>
          </w:tcPr>
          <w:p>
            <w:r>
              <w:rPr>
                <w:rFonts w:ascii="Calibri" w:hAnsi="Calibri"/>
                <w:b w:val="0"/>
                <w:i w:val="0"/>
                <w:sz w:val="20"/>
              </w:rPr>
              <w:t>Análisis sistemático de los riesgos asociados a cada tratamiento de datos.</w:t>
            </w:r>
          </w:p>
        </w:tc>
      </w:tr>
      <w:tr>
        <w:tc>
          <w:tcPr>
            <w:tcW w:type="dxa" w:w="2268"/>
            <w:shd w:fill="EBF3FB" w:val="clear"/>
          </w:tcPr>
          <w:p>
            <w:r>
              <w:rPr>
                <w:rFonts w:ascii="Calibri" w:hAnsi="Calibri"/>
                <w:b w:val="0"/>
                <w:i w:val="0"/>
                <w:sz w:val="20"/>
              </w:rPr>
              <w:t>④ Protocolos y procedimientos</w:t>
            </w:r>
          </w:p>
        </w:tc>
        <w:tc>
          <w:tcPr>
            <w:tcW w:type="dxa" w:w="7654"/>
            <w:shd w:fill="EBF3FB" w:val="clear"/>
          </w:tcPr>
          <w:p>
            <w:r>
              <w:rPr>
                <w:rFonts w:ascii="Calibri" w:hAnsi="Calibri"/>
                <w:b w:val="0"/>
                <w:i w:val="0"/>
                <w:sz w:val="20"/>
              </w:rPr>
              <w:t>Documentación de los procesos de tratamiento, respuesta a solicitudes de derechos, gestión de brechas, etc.</w:t>
            </w:r>
          </w:p>
        </w:tc>
      </w:tr>
      <w:tr>
        <w:tc>
          <w:tcPr>
            <w:tcW w:type="dxa" w:w="2268"/>
          </w:tcPr>
          <w:p>
            <w:r>
              <w:rPr>
                <w:rFonts w:ascii="Calibri" w:hAnsi="Calibri"/>
                <w:b w:val="0"/>
                <w:i w:val="0"/>
                <w:sz w:val="20"/>
              </w:rPr>
              <w:t>⑤ Mecanismos de reportes</w:t>
            </w:r>
          </w:p>
        </w:tc>
        <w:tc>
          <w:tcPr>
            <w:tcW w:type="dxa" w:w="7654"/>
          </w:tcPr>
          <w:p>
            <w:r>
              <w:rPr>
                <w:rFonts w:ascii="Calibri" w:hAnsi="Calibri"/>
                <w:b w:val="0"/>
                <w:i w:val="0"/>
                <w:sz w:val="20"/>
              </w:rPr>
              <w:t>Canales internos para reportar incidentes y posibles infracciones.</w:t>
            </w:r>
          </w:p>
        </w:tc>
      </w:tr>
      <w:tr>
        <w:tc>
          <w:tcPr>
            <w:tcW w:type="dxa" w:w="2268"/>
            <w:shd w:fill="EBF3FB" w:val="clear"/>
          </w:tcPr>
          <w:p>
            <w:r>
              <w:rPr>
                <w:rFonts w:ascii="Calibri" w:hAnsi="Calibri"/>
                <w:b w:val="0"/>
                <w:i w:val="0"/>
                <w:sz w:val="20"/>
              </w:rPr>
              <w:t>⑥ Sanciones internas</w:t>
            </w:r>
          </w:p>
        </w:tc>
        <w:tc>
          <w:tcPr>
            <w:tcW w:type="dxa" w:w="7654"/>
            <w:shd w:fill="EBF3FB" w:val="clear"/>
          </w:tcPr>
          <w:p>
            <w:r>
              <w:rPr>
                <w:rFonts w:ascii="Calibri" w:hAnsi="Calibri"/>
                <w:b w:val="0"/>
                <w:i w:val="0"/>
                <w:sz w:val="20"/>
              </w:rPr>
              <w:t>Régimen disciplinario interno para quienes incumplan las políticas de protección de datos.</w:t>
            </w:r>
          </w:p>
        </w:tc>
      </w:tr>
    </w:tbl>
    <w:p/>
    <w:p>
      <w:pPr>
        <w:spacing w:before="160" w:after="40"/>
      </w:pPr>
      <w:r>
        <w:rPr>
          <w:rFonts w:ascii="Calibri" w:hAnsi="Calibri"/>
          <w:b/>
          <w:i w:val="0"/>
          <w:color w:val="0070C0"/>
          <w:sz w:val="22"/>
        </w:rPr>
        <w:t>5.2  Certificación y beneficios</w:t>
      </w:r>
    </w:p>
    <w:p>
      <w:pPr>
        <w:pStyle w:val="ListBullet"/>
        <w:spacing w:after="40"/>
      </w:pPr>
      <w:r>
        <w:rPr>
          <w:rFonts w:ascii="Calibri" w:hAnsi="Calibri"/>
          <w:b/>
          <w:i w:val="0"/>
          <w:color w:val="00467F"/>
          <w:sz w:val="22"/>
        </w:rPr>
        <w:t xml:space="preserve">Certificación:  </w:t>
      </w:r>
      <w:r>
        <w:rPr>
          <w:rFonts w:ascii="Calibri" w:hAnsi="Calibri"/>
          <w:b w:val="0"/>
          <w:i w:val="0"/>
          <w:color w:val="282828"/>
          <w:sz w:val="22"/>
        </w:rPr>
        <w:t>El modelo se certifica por la Agencia de Protección de Datos Personales.</w:t>
      </w:r>
    </w:p>
    <w:p>
      <w:pPr>
        <w:pStyle w:val="ListBullet"/>
        <w:spacing w:after="40"/>
      </w:pPr>
      <w:r>
        <w:rPr>
          <w:rFonts w:ascii="Calibri" w:hAnsi="Calibri"/>
          <w:b/>
          <w:i w:val="0"/>
          <w:color w:val="00467F"/>
          <w:sz w:val="22"/>
        </w:rPr>
        <w:t xml:space="preserve">Vigencia:  </w:t>
      </w:r>
      <w:r>
        <w:rPr>
          <w:rFonts w:ascii="Calibri" w:hAnsi="Calibri"/>
          <w:b w:val="0"/>
          <w:i w:val="0"/>
          <w:color w:val="282828"/>
          <w:sz w:val="22"/>
        </w:rPr>
        <w:t>La certificación tiene validez de 3 años y luego debe renovarse.</w:t>
      </w:r>
    </w:p>
    <w:p>
      <w:pPr>
        <w:pStyle w:val="ListBullet"/>
        <w:spacing w:after="40"/>
      </w:pPr>
      <w:r>
        <w:rPr>
          <w:rFonts w:ascii="Calibri" w:hAnsi="Calibri"/>
          <w:b/>
          <w:i w:val="0"/>
          <w:color w:val="00467F"/>
          <w:sz w:val="22"/>
        </w:rPr>
        <w:t xml:space="preserve">Beneficio clave:  </w:t>
      </w:r>
      <w:r>
        <w:rPr>
          <w:rFonts w:ascii="Calibri" w:hAnsi="Calibri"/>
          <w:b w:val="0"/>
          <w:i w:val="0"/>
          <w:color w:val="282828"/>
          <w:sz w:val="22"/>
        </w:rPr>
        <w:t>Contar con el modelo certificado opera como ATENUANTE legal ante sanciones de la Agencia.</w:t>
      </w:r>
    </w:p>
    <w:p>
      <w:pPr>
        <w:pStyle w:val="ListBullet"/>
        <w:spacing w:after="40"/>
      </w:pPr>
      <w:r>
        <w:rPr>
          <w:rFonts w:ascii="Calibri" w:hAnsi="Calibri"/>
          <w:b/>
          <w:i w:val="0"/>
          <w:color w:val="00467F"/>
          <w:sz w:val="22"/>
        </w:rPr>
        <w:t xml:space="preserve">Contratos:  </w:t>
      </w:r>
      <w:r>
        <w:rPr>
          <w:rFonts w:ascii="Calibri" w:hAnsi="Calibri"/>
          <w:b w:val="0"/>
          <w:i w:val="0"/>
          <w:color w:val="282828"/>
          <w:sz w:val="22"/>
        </w:rPr>
        <w:t>La adhesión y sus obligaciones deben incorporarse expresamente en los contratos de trabajo y de prestación de servicios.</w:t>
      </w:r>
    </w:p>
    <w:p>
      <w:pPr>
        <w:spacing w:before="60" w:after="100"/>
        <w:ind w:left="283"/>
      </w:pPr>
      <w:r>
        <w:rPr>
          <w:rFonts w:ascii="Calibri" w:hAnsi="Calibri"/>
          <w:b w:val="0"/>
          <w:i/>
          <w:color w:val="8C0000"/>
          <w:sz w:val="20"/>
        </w:rPr>
        <w:t>⚠  El modelo es voluntario, pero sus beneficios son muy relevantes: una multa puede reducirse significativamente si la organización puede demostrar que tenía un modelo de prevención certificado.</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6. DEBER DE REPORTAR VULNERACIONES DE SEGURIDAD</w:t>
      </w:r>
    </w:p>
    <w:p>
      <w:pPr>
        <w:spacing w:before="160" w:after="40"/>
      </w:pPr>
      <w:r>
        <w:rPr>
          <w:rFonts w:ascii="Calibri" w:hAnsi="Calibri"/>
          <w:b/>
          <w:i w:val="0"/>
          <w:color w:val="0070C0"/>
          <w:sz w:val="22"/>
        </w:rPr>
        <w:t>6.1  ¿Cuándo reportar?</w:t>
      </w:r>
    </w:p>
    <w:p>
      <w:pPr>
        <w:pStyle w:val="ListBullet"/>
        <w:spacing w:after="40"/>
      </w:pPr>
      <w:r>
        <w:rPr>
          <w:rFonts w:ascii="Calibri" w:hAnsi="Calibri"/>
          <w:b/>
          <w:i w:val="0"/>
          <w:color w:val="00467F"/>
          <w:sz w:val="22"/>
        </w:rPr>
        <w:t xml:space="preserve">Siempre:  </w:t>
      </w:r>
      <w:r>
        <w:rPr>
          <w:rFonts w:ascii="Calibri" w:hAnsi="Calibri"/>
          <w:b w:val="0"/>
          <w:i w:val="0"/>
          <w:color w:val="282828"/>
          <w:sz w:val="22"/>
        </w:rPr>
        <w:t>Cuando ocurra una vulneración de seguridad que afecte datos personales.</w:t>
      </w:r>
    </w:p>
    <w:p>
      <w:pPr>
        <w:pStyle w:val="ListBullet"/>
        <w:spacing w:after="40"/>
      </w:pPr>
      <w:r>
        <w:rPr>
          <w:rFonts w:ascii="Calibri" w:hAnsi="Calibri"/>
          <w:b/>
          <w:i w:val="0"/>
          <w:color w:val="00467F"/>
          <w:sz w:val="22"/>
        </w:rPr>
        <w:t xml:space="preserve">También:  </w:t>
      </w:r>
      <w:r>
        <w:rPr>
          <w:rFonts w:ascii="Calibri" w:hAnsi="Calibri"/>
          <w:b w:val="0"/>
          <w:i w:val="0"/>
          <w:color w:val="282828"/>
          <w:sz w:val="22"/>
        </w:rPr>
        <w:t>Cuando exista un riesgo razonable para los derechos y libertades de los titulares.</w:t>
      </w:r>
    </w:p>
    <w:p>
      <w:pPr>
        <w:spacing w:before="160" w:after="40"/>
      </w:pPr>
      <w:r>
        <w:rPr>
          <w:rFonts w:ascii="Calibri" w:hAnsi="Calibri"/>
          <w:b/>
          <w:i w:val="0"/>
          <w:color w:val="0070C0"/>
          <w:sz w:val="22"/>
        </w:rPr>
        <w:t>6.2  Contenido obligatorio del reporte a la Agencia</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Elemento del reporte</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Naturaleza de la vulneración</w:t>
            </w:r>
          </w:p>
        </w:tc>
        <w:tc>
          <w:tcPr>
            <w:tcW w:type="dxa" w:w="7087"/>
          </w:tcPr>
          <w:p>
            <w:r>
              <w:rPr>
                <w:rFonts w:ascii="Calibri" w:hAnsi="Calibri"/>
                <w:b w:val="0"/>
                <w:i w:val="0"/>
                <w:sz w:val="20"/>
              </w:rPr>
              <w:t>Qué ocurrió: acceso no autorizado, pérdida, destrucción, alteración, etc.</w:t>
            </w:r>
          </w:p>
        </w:tc>
      </w:tr>
      <w:tr>
        <w:tc>
          <w:tcPr>
            <w:tcW w:type="dxa" w:w="2835"/>
            <w:shd w:fill="EBF3FB" w:val="clear"/>
          </w:tcPr>
          <w:p>
            <w:r>
              <w:rPr>
                <w:rFonts w:ascii="Calibri" w:hAnsi="Calibri"/>
                <w:b w:val="0"/>
                <w:i w:val="0"/>
                <w:sz w:val="20"/>
              </w:rPr>
              <w:t>Efectos de la vulneración</w:t>
            </w:r>
          </w:p>
        </w:tc>
        <w:tc>
          <w:tcPr>
            <w:tcW w:type="dxa" w:w="7087"/>
            <w:shd w:fill="EBF3FB" w:val="clear"/>
          </w:tcPr>
          <w:p>
            <w:r>
              <w:rPr>
                <w:rFonts w:ascii="Calibri" w:hAnsi="Calibri"/>
                <w:b w:val="0"/>
                <w:i w:val="0"/>
                <w:sz w:val="20"/>
              </w:rPr>
              <w:t>Qué consecuencias tuvo o puede tener para los titulares.</w:t>
            </w:r>
          </w:p>
        </w:tc>
      </w:tr>
      <w:tr>
        <w:tc>
          <w:tcPr>
            <w:tcW w:type="dxa" w:w="2835"/>
          </w:tcPr>
          <w:p>
            <w:r>
              <w:rPr>
                <w:rFonts w:ascii="Calibri" w:hAnsi="Calibri"/>
                <w:b w:val="0"/>
                <w:i w:val="0"/>
                <w:sz w:val="20"/>
              </w:rPr>
              <w:t>Categoría de datos afectados</w:t>
            </w:r>
          </w:p>
        </w:tc>
        <w:tc>
          <w:tcPr>
            <w:tcW w:type="dxa" w:w="7087"/>
          </w:tcPr>
          <w:p>
            <w:r>
              <w:rPr>
                <w:rFonts w:ascii="Calibri" w:hAnsi="Calibri"/>
                <w:b w:val="0"/>
                <w:i w:val="0"/>
                <w:sz w:val="20"/>
              </w:rPr>
              <w:t>Qué tipos de datos personales fueron comprometidos.</w:t>
            </w:r>
          </w:p>
        </w:tc>
      </w:tr>
      <w:tr>
        <w:tc>
          <w:tcPr>
            <w:tcW w:type="dxa" w:w="2835"/>
            <w:shd w:fill="EBF3FB" w:val="clear"/>
          </w:tcPr>
          <w:p>
            <w:r>
              <w:rPr>
                <w:rFonts w:ascii="Calibri" w:hAnsi="Calibri"/>
                <w:b w:val="0"/>
                <w:i w:val="0"/>
                <w:sz w:val="20"/>
              </w:rPr>
              <w:t>Número aproximado de titulares</w:t>
            </w:r>
          </w:p>
        </w:tc>
        <w:tc>
          <w:tcPr>
            <w:tcW w:type="dxa" w:w="7087"/>
            <w:shd w:fill="EBF3FB" w:val="clear"/>
          </w:tcPr>
          <w:p>
            <w:r>
              <w:rPr>
                <w:rFonts w:ascii="Calibri" w:hAnsi="Calibri"/>
                <w:b w:val="0"/>
                <w:i w:val="0"/>
                <w:sz w:val="20"/>
              </w:rPr>
              <w:t>Cuántas personas se vieron afectadas (estimación).</w:t>
            </w:r>
          </w:p>
        </w:tc>
      </w:tr>
      <w:tr>
        <w:tc>
          <w:tcPr>
            <w:tcW w:type="dxa" w:w="2835"/>
          </w:tcPr>
          <w:p>
            <w:r>
              <w:rPr>
                <w:rFonts w:ascii="Calibri" w:hAnsi="Calibri"/>
                <w:b w:val="0"/>
                <w:i w:val="0"/>
                <w:sz w:val="20"/>
              </w:rPr>
              <w:t>Medidas adoptadas</w:t>
            </w:r>
          </w:p>
        </w:tc>
        <w:tc>
          <w:tcPr>
            <w:tcW w:type="dxa" w:w="7087"/>
          </w:tcPr>
          <w:p>
            <w:r>
              <w:rPr>
                <w:rFonts w:ascii="Calibri" w:hAnsi="Calibri"/>
                <w:b w:val="0"/>
                <w:i w:val="0"/>
                <w:sz w:val="20"/>
              </w:rPr>
              <w:t>Qué acciones se tomaron para gestionar la brecha y prevenir que vuelva a ocurrir.</w:t>
            </w:r>
          </w:p>
        </w:tc>
      </w:tr>
    </w:tbl>
    <w:p/>
    <w:p>
      <w:pPr>
        <w:spacing w:before="160" w:after="40"/>
      </w:pPr>
      <w:r>
        <w:rPr>
          <w:rFonts w:ascii="Calibri" w:hAnsi="Calibri"/>
          <w:b/>
          <w:i w:val="0"/>
          <w:color w:val="0070C0"/>
          <w:sz w:val="22"/>
        </w:rPr>
        <w:t>6.3  ¿Cuándo notificar también a los titulares?</w:t>
      </w:r>
    </w:p>
    <w:tbl>
      <w:tblPr>
        <w:tblStyle w:val="TableGrid"/>
        <w:tblW w:type="auto" w:w="0"/>
        <w:jc w:val="center"/>
        <w:tblLook w:firstColumn="1" w:firstRow="1" w:lastColumn="0" w:lastRow="0" w:noHBand="0" w:noVBand="1" w:val="04A0"/>
      </w:tblPr>
      <w:tblGrid>
        <w:gridCol w:w="4703"/>
        <w:gridCol w:w="4703"/>
      </w:tblGrid>
      <w:tr>
        <w:tc>
          <w:tcPr>
            <w:tcW w:type="dxa" w:w="4535"/>
            <w:shd w:fill="003F7F" w:val="clear"/>
          </w:tcPr>
          <w:p>
            <w:r>
              <w:rPr>
                <w:rFonts w:ascii="Calibri" w:hAnsi="Calibri"/>
                <w:b/>
                <w:i w:val="0"/>
                <w:color w:val="FFFFFF"/>
                <w:sz w:val="20"/>
              </w:rPr>
              <w:t>Tipo de datos comprometidos</w:t>
            </w:r>
          </w:p>
        </w:tc>
        <w:tc>
          <w:tcPr>
            <w:tcW w:type="dxa" w:w="5386"/>
            <w:shd w:fill="003F7F" w:val="clear"/>
          </w:tcPr>
          <w:p>
            <w:r>
              <w:rPr>
                <w:rFonts w:ascii="Calibri" w:hAnsi="Calibri"/>
                <w:b/>
                <w:i w:val="0"/>
                <w:color w:val="FFFFFF"/>
                <w:sz w:val="20"/>
              </w:rPr>
              <w:t>¿Notificar al titular?</w:t>
            </w:r>
          </w:p>
        </w:tc>
      </w:tr>
      <w:tr>
        <w:tc>
          <w:tcPr>
            <w:tcW w:type="dxa" w:w="4535"/>
          </w:tcPr>
          <w:p>
            <w:r>
              <w:rPr>
                <w:rFonts w:ascii="Calibri" w:hAnsi="Calibri"/>
                <w:b w:val="0"/>
                <w:i w:val="0"/>
                <w:sz w:val="20"/>
              </w:rPr>
              <w:t>Datos sensibles (salud, biométrico, ideología, etc.)</w:t>
            </w:r>
          </w:p>
        </w:tc>
        <w:tc>
          <w:tcPr>
            <w:tcW w:type="dxa" w:w="5386"/>
          </w:tcPr>
          <w:p>
            <w:r>
              <w:rPr>
                <w:rFonts w:ascii="Calibri" w:hAnsi="Calibri"/>
                <w:b w:val="0"/>
                <w:i w:val="0"/>
                <w:sz w:val="20"/>
              </w:rPr>
              <w:t>SÍ — obligatorio</w:t>
            </w:r>
          </w:p>
        </w:tc>
      </w:tr>
      <w:tr>
        <w:tc>
          <w:tcPr>
            <w:tcW w:type="dxa" w:w="4535"/>
            <w:shd w:fill="EBF3FB" w:val="clear"/>
          </w:tcPr>
          <w:p>
            <w:r>
              <w:rPr>
                <w:rFonts w:ascii="Calibri" w:hAnsi="Calibri"/>
                <w:b w:val="0"/>
                <w:i w:val="0"/>
                <w:sz w:val="20"/>
              </w:rPr>
              <w:t>Datos de menores de 14 años</w:t>
            </w:r>
          </w:p>
        </w:tc>
        <w:tc>
          <w:tcPr>
            <w:tcW w:type="dxa" w:w="5386"/>
            <w:shd w:fill="EBF3FB" w:val="clear"/>
          </w:tcPr>
          <w:p>
            <w:r>
              <w:rPr>
                <w:rFonts w:ascii="Calibri" w:hAnsi="Calibri"/>
                <w:b w:val="0"/>
                <w:i w:val="0"/>
                <w:sz w:val="20"/>
              </w:rPr>
              <w:t>SÍ — obligatorio</w:t>
            </w:r>
          </w:p>
        </w:tc>
      </w:tr>
      <w:tr>
        <w:tc>
          <w:tcPr>
            <w:tcW w:type="dxa" w:w="4535"/>
          </w:tcPr>
          <w:p>
            <w:r>
              <w:rPr>
                <w:rFonts w:ascii="Calibri" w:hAnsi="Calibri"/>
                <w:b w:val="0"/>
                <w:i w:val="0"/>
                <w:sz w:val="20"/>
              </w:rPr>
              <w:t>Datos de obligaciones económicas y comerciales</w:t>
            </w:r>
          </w:p>
        </w:tc>
        <w:tc>
          <w:tcPr>
            <w:tcW w:type="dxa" w:w="5386"/>
          </w:tcPr>
          <w:p>
            <w:r>
              <w:rPr>
                <w:rFonts w:ascii="Calibri" w:hAnsi="Calibri"/>
                <w:b w:val="0"/>
                <w:i w:val="0"/>
                <w:sz w:val="20"/>
              </w:rPr>
              <w:t>SÍ — obligatorio</w:t>
            </w:r>
          </w:p>
        </w:tc>
      </w:tr>
      <w:tr>
        <w:tc>
          <w:tcPr>
            <w:tcW w:type="dxa" w:w="4535"/>
            <w:shd w:fill="EBF3FB" w:val="clear"/>
          </w:tcPr>
          <w:p>
            <w:r>
              <w:rPr>
                <w:rFonts w:ascii="Calibri" w:hAnsi="Calibri"/>
                <w:b w:val="0"/>
                <w:i w:val="0"/>
                <w:sz w:val="20"/>
              </w:rPr>
              <w:t>Datos personales comunes (nombre, contacto, etc.)</w:t>
            </w:r>
          </w:p>
        </w:tc>
        <w:tc>
          <w:tcPr>
            <w:tcW w:type="dxa" w:w="5386"/>
            <w:shd w:fill="EBF3FB" w:val="clear"/>
          </w:tcPr>
          <w:p>
            <w:r>
              <w:rPr>
                <w:rFonts w:ascii="Calibri" w:hAnsi="Calibri"/>
                <w:b w:val="0"/>
                <w:i w:val="0"/>
                <w:sz w:val="20"/>
              </w:rPr>
              <w:t>A criterio de la Agencia según el riesgo</w:t>
            </w:r>
          </w:p>
        </w:tc>
      </w:tr>
    </w:tbl>
    <w:p/>
    <w:p>
      <w:pPr>
        <w:pStyle w:val="ListBullet"/>
        <w:spacing w:after="40"/>
      </w:pPr>
      <w:r>
        <w:rPr>
          <w:rFonts w:ascii="Calibri" w:hAnsi="Calibri"/>
          <w:b/>
          <w:i w:val="0"/>
          <w:color w:val="00467F"/>
          <w:sz w:val="22"/>
        </w:rPr>
        <w:t xml:space="preserve">Forma:  </w:t>
      </w:r>
      <w:r>
        <w:rPr>
          <w:rFonts w:ascii="Calibri" w:hAnsi="Calibri"/>
          <w:b w:val="0"/>
          <w:i w:val="0"/>
          <w:color w:val="282828"/>
          <w:sz w:val="22"/>
        </w:rPr>
        <w:t>La notificación al titular debe ser en lenguaje claro y sencillo.</w:t>
      </w:r>
    </w:p>
    <w:p>
      <w:pPr>
        <w:pStyle w:val="ListBullet"/>
        <w:spacing w:after="40"/>
      </w:pPr>
      <w:r>
        <w:rPr>
          <w:rFonts w:ascii="Calibri" w:hAnsi="Calibri"/>
          <w:b/>
          <w:i w:val="0"/>
          <w:color w:val="00467F"/>
          <w:sz w:val="22"/>
        </w:rPr>
        <w:t xml:space="preserve">Contenido:  </w:t>
      </w:r>
      <w:r>
        <w:rPr>
          <w:rFonts w:ascii="Calibri" w:hAnsi="Calibri"/>
          <w:b w:val="0"/>
          <w:i w:val="0"/>
          <w:color w:val="282828"/>
          <w:sz w:val="22"/>
        </w:rPr>
        <w:t>Debe singularizar los datos afectados, explicar las posibles consecuencias y describir las medidas de solución adoptadas.</w:t>
      </w:r>
    </w:p>
    <w:p>
      <w:pPr>
        <w:spacing w:before="60" w:after="100"/>
        <w:ind w:left="283"/>
      </w:pPr>
      <w:r>
        <w:rPr>
          <w:rFonts w:ascii="Calibri" w:hAnsi="Calibri"/>
          <w:b w:val="0"/>
          <w:i/>
          <w:color w:val="8C0000"/>
          <w:sz w:val="20"/>
        </w:rPr>
        <w:t>⚠  La falta de reporte oportuno a la Agencia constituye infracción autónoma, independiente de la vulneración original.</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7. RÉGIMEN SANCIONATORIO — RESUMEN</w:t>
      </w:r>
    </w:p>
    <w:p>
      <w:r>
        <w:rPr>
          <w:rFonts w:ascii="Calibri" w:hAnsi="Calibri"/>
          <w:b w:val="0"/>
          <w:i/>
          <w:color w:val="3C3C3C"/>
          <w:sz w:val="22"/>
        </w:rPr>
        <w:t>Las infracciones se clasifican en tres niveles. El detalle completo se desarrolla en el Módulo 6.</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003F7F" w:val="clear"/>
          </w:tcPr>
          <w:p>
            <w:r>
              <w:rPr>
                <w:rFonts w:ascii="Calibri" w:hAnsi="Calibri"/>
                <w:b/>
                <w:i w:val="0"/>
                <w:color w:val="FFFFFF"/>
                <w:sz w:val="20"/>
              </w:rPr>
              <w:t>Nivel</w:t>
            </w:r>
          </w:p>
        </w:tc>
        <w:tc>
          <w:tcPr>
            <w:tcW w:type="dxa" w:w="2268"/>
            <w:shd w:fill="003F7F" w:val="clear"/>
          </w:tcPr>
          <w:p>
            <w:r>
              <w:rPr>
                <w:rFonts w:ascii="Calibri" w:hAnsi="Calibri"/>
                <w:b/>
                <w:i w:val="0"/>
                <w:color w:val="FFFFFF"/>
                <w:sz w:val="20"/>
              </w:rPr>
              <w:t>Multa máxima</w:t>
            </w:r>
          </w:p>
        </w:tc>
        <w:tc>
          <w:tcPr>
            <w:tcW w:type="dxa" w:w="6236"/>
            <w:shd w:fill="003F7F" w:val="clear"/>
          </w:tcPr>
          <w:p>
            <w:r>
              <w:rPr>
                <w:rFonts w:ascii="Calibri" w:hAnsi="Calibri"/>
                <w:b/>
                <w:i w:val="0"/>
                <w:color w:val="FFFFFF"/>
                <w:sz w:val="20"/>
              </w:rPr>
              <w:t>Ejemplos de infracciones</w:t>
            </w:r>
          </w:p>
        </w:tc>
      </w:tr>
      <w:tr>
        <w:tc>
          <w:tcPr>
            <w:tcW w:type="dxa" w:w="1417"/>
          </w:tcPr>
          <w:p>
            <w:r>
              <w:rPr>
                <w:rFonts w:ascii="Calibri" w:hAnsi="Calibri"/>
                <w:b w:val="0"/>
                <w:i w:val="0"/>
                <w:sz w:val="20"/>
              </w:rPr>
              <w:t>Leve</w:t>
            </w:r>
          </w:p>
        </w:tc>
        <w:tc>
          <w:tcPr>
            <w:tcW w:type="dxa" w:w="2268"/>
          </w:tcPr>
          <w:p>
            <w:r>
              <w:rPr>
                <w:rFonts w:ascii="Calibri" w:hAnsi="Calibri"/>
                <w:b w:val="0"/>
                <w:i w:val="0"/>
                <w:sz w:val="20"/>
              </w:rPr>
              <w:t>Hasta 5.000 UTM</w:t>
            </w:r>
          </w:p>
        </w:tc>
        <w:tc>
          <w:tcPr>
            <w:tcW w:type="dxa" w:w="6236"/>
          </w:tcPr>
          <w:p>
            <w:r>
              <w:rPr>
                <w:rFonts w:ascii="Calibri" w:hAnsi="Calibri"/>
                <w:b w:val="0"/>
                <w:i w:val="0"/>
                <w:sz w:val="20"/>
              </w:rPr>
              <w:t>Incumplimientos formales menores, retrasos leves en respuesta a solicitudes de derechos.</w:t>
            </w:r>
          </w:p>
        </w:tc>
      </w:tr>
      <w:tr>
        <w:tc>
          <w:tcPr>
            <w:tcW w:type="dxa" w:w="1417"/>
            <w:shd w:fill="EBF3FB" w:val="clear"/>
          </w:tcPr>
          <w:p>
            <w:r>
              <w:rPr>
                <w:rFonts w:ascii="Calibri" w:hAnsi="Calibri"/>
                <w:b w:val="0"/>
                <w:i w:val="0"/>
                <w:sz w:val="20"/>
              </w:rPr>
              <w:t>Grave</w:t>
            </w:r>
          </w:p>
        </w:tc>
        <w:tc>
          <w:tcPr>
            <w:tcW w:type="dxa" w:w="2268"/>
            <w:shd w:fill="EBF3FB" w:val="clear"/>
          </w:tcPr>
          <w:p>
            <w:r>
              <w:rPr>
                <w:rFonts w:ascii="Calibri" w:hAnsi="Calibri"/>
                <w:b w:val="0"/>
                <w:i w:val="0"/>
                <w:sz w:val="20"/>
              </w:rPr>
              <w:t>Hasta 10.000 UTM</w:t>
            </w:r>
          </w:p>
        </w:tc>
        <w:tc>
          <w:tcPr>
            <w:tcW w:type="dxa" w:w="6236"/>
            <w:shd w:fill="EBF3FB" w:val="clear"/>
          </w:tcPr>
          <w:p>
            <w:r>
              <w:rPr>
                <w:rFonts w:ascii="Calibri" w:hAnsi="Calibri"/>
                <w:b w:val="0"/>
                <w:i w:val="0"/>
                <w:sz w:val="20"/>
              </w:rPr>
              <w:t>Denegación injustificada de bloqueo, respuesta tardía, falta de base de licitud, tratamiento sin DPD cuando es obligatorio.</w:t>
            </w:r>
          </w:p>
        </w:tc>
      </w:tr>
      <w:tr>
        <w:tc>
          <w:tcPr>
            <w:tcW w:type="dxa" w:w="1417"/>
          </w:tcPr>
          <w:p>
            <w:r>
              <w:rPr>
                <w:rFonts w:ascii="Calibri" w:hAnsi="Calibri"/>
                <w:b w:val="0"/>
                <w:i w:val="0"/>
                <w:sz w:val="20"/>
              </w:rPr>
              <w:t>Gravísima</w:t>
            </w:r>
          </w:p>
        </w:tc>
        <w:tc>
          <w:tcPr>
            <w:tcW w:type="dxa" w:w="2268"/>
          </w:tcPr>
          <w:p>
            <w:r>
              <w:rPr>
                <w:rFonts w:ascii="Calibri" w:hAnsi="Calibri"/>
                <w:b w:val="0"/>
                <w:i w:val="0"/>
                <w:sz w:val="20"/>
              </w:rPr>
              <w:t>Hasta 20.000 UTM</w:t>
            </w:r>
          </w:p>
        </w:tc>
        <w:tc>
          <w:tcPr>
            <w:tcW w:type="dxa" w:w="6236"/>
          </w:tcPr>
          <w:p>
            <w:r>
              <w:rPr>
                <w:rFonts w:ascii="Calibri" w:hAnsi="Calibri"/>
                <w:b w:val="0"/>
                <w:i w:val="0"/>
                <w:sz w:val="20"/>
              </w:rPr>
              <w:t>Tratamiento ilícito masivo, vulneración grave de datos sensibles, reincidencia.</w:t>
            </w:r>
          </w:p>
        </w:tc>
      </w:tr>
      <w:tr>
        <w:tc>
          <w:tcPr>
            <w:tcW w:type="dxa" w:w="1417"/>
            <w:shd w:fill="EBF3FB" w:val="clear"/>
          </w:tcPr>
          <w:p>
            <w:r>
              <w:rPr>
                <w:rFonts w:ascii="Calibri" w:hAnsi="Calibri"/>
                <w:b w:val="0"/>
                <w:i w:val="0"/>
                <w:sz w:val="20"/>
              </w:rPr>
              <w:t>Reiteración</w:t>
            </w:r>
          </w:p>
        </w:tc>
        <w:tc>
          <w:tcPr>
            <w:tcW w:type="dxa" w:w="2268"/>
            <w:shd w:fill="EBF3FB" w:val="clear"/>
          </w:tcPr>
          <w:p>
            <w:r>
              <w:rPr>
                <w:rFonts w:ascii="Calibri" w:hAnsi="Calibri"/>
                <w:b w:val="0"/>
                <w:i w:val="0"/>
                <w:sz w:val="20"/>
              </w:rPr>
              <w:t>Hasta 2% de los ingresos anuales de la organización</w:t>
            </w:r>
          </w:p>
        </w:tc>
        <w:tc>
          <w:tcPr>
            <w:tcW w:type="dxa" w:w="6236"/>
            <w:shd w:fill="EBF3FB" w:val="clear"/>
          </w:tcPr>
          <w:p>
            <w:r>
              <w:rPr>
                <w:rFonts w:ascii="Calibri" w:hAnsi="Calibri"/>
                <w:b w:val="0"/>
                <w:i w:val="0"/>
                <w:sz w:val="20"/>
              </w:rPr>
              <w:t>Infracciones repetidas. Para empresas grandes puede superar los montos fijos.</w:t>
            </w:r>
          </w:p>
        </w:tc>
      </w:tr>
    </w:tbl>
    <w:p/>
    <w:p>
      <w:pPr>
        <w:pStyle w:val="ListBullet"/>
        <w:spacing w:after="40"/>
      </w:pPr>
      <w:r>
        <w:rPr>
          <w:rFonts w:ascii="Calibri" w:hAnsi="Calibri"/>
          <w:b/>
          <w:i w:val="0"/>
          <w:color w:val="00467F"/>
          <w:sz w:val="22"/>
        </w:rPr>
        <w:t xml:space="preserve">Nota:  </w:t>
      </w:r>
      <w:r>
        <w:rPr>
          <w:rFonts w:ascii="Calibri" w:hAnsi="Calibri"/>
          <w:b w:val="0"/>
          <w:i w:val="0"/>
          <w:color w:val="282828"/>
          <w:sz w:val="22"/>
        </w:rPr>
        <w:t>La multa puede ser muy inferior al máximo: la Agencia tiene discrecionalidad según gravedad e impacto.</w:t>
      </w:r>
    </w:p>
    <w:p>
      <w:pPr>
        <w:pStyle w:val="ListBullet"/>
        <w:spacing w:after="40"/>
      </w:pPr>
      <w:r>
        <w:rPr>
          <w:rFonts w:ascii="Calibri" w:hAnsi="Calibri"/>
          <w:b/>
          <w:i w:val="0"/>
          <w:color w:val="00467F"/>
          <w:sz w:val="22"/>
        </w:rPr>
        <w:t xml:space="preserve">Atenuante:  </w:t>
      </w:r>
      <w:r>
        <w:rPr>
          <w:rFonts w:ascii="Calibri" w:hAnsi="Calibri"/>
          <w:b w:val="0"/>
          <w:i w:val="0"/>
          <w:color w:val="282828"/>
          <w:sz w:val="22"/>
        </w:rPr>
        <w:t>Contar con Modelo de Prevención certificado opera como atenuante → reduce el monto de la multa.</w:t>
      </w:r>
    </w:p>
    <w:p>
      <w:pPr>
        <w:pStyle w:val="ListBullet"/>
        <w:spacing w:after="40"/>
      </w:pPr>
      <w:r>
        <w:rPr>
          <w:rFonts w:ascii="Calibri" w:hAnsi="Calibri"/>
          <w:b/>
          <w:i w:val="0"/>
          <w:color w:val="00467F"/>
          <w:sz w:val="22"/>
        </w:rPr>
        <w:t xml:space="preserve">Registro público:  </w:t>
      </w:r>
      <w:r>
        <w:rPr>
          <w:rFonts w:ascii="Calibri" w:hAnsi="Calibri"/>
          <w:b w:val="0"/>
          <w:i w:val="0"/>
          <w:color w:val="282828"/>
          <w:sz w:val="22"/>
        </w:rPr>
        <w:t>La Agencia puede publicar la resolución en el Registro Nacional de Sanciones (Art. 39) → daño reputacional.</w:t>
      </w:r>
    </w:p>
    <w:p>
      <w:pPr>
        <w:pStyle w:val="ListBullet"/>
        <w:spacing w:after="40"/>
      </w:pPr>
      <w:r>
        <w:rPr>
          <w:rFonts w:ascii="Calibri" w:hAnsi="Calibri"/>
          <w:b/>
          <w:i w:val="0"/>
          <w:color w:val="00467F"/>
          <w:sz w:val="22"/>
        </w:rPr>
        <w:t xml:space="preserve">PYMES:  </w:t>
      </w:r>
      <w:r>
        <w:rPr>
          <w:rFonts w:ascii="Calibri" w:hAnsi="Calibri"/>
          <w:b w:val="0"/>
          <w:i w:val="0"/>
          <w:color w:val="282828"/>
          <w:sz w:val="22"/>
        </w:rPr>
        <w:t>PYMES: hasta diciembre de 2027 la Agencia puede emitir advertencia en lugar de multa en primera infracción.</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8. MAPA MENTAL — MÓDULO 4 PARTE 2</w:t>
      </w:r>
    </w:p>
    <w:p>
      <w:pPr>
        <w:spacing w:before="100" w:after="40"/>
        <w:ind w:left="0"/>
      </w:pPr>
      <w:r>
        <w:rPr>
          <w:rFonts w:ascii="Calibri" w:hAnsi="Calibri"/>
          <w:b/>
          <w:i w:val="0"/>
          <w:color w:val="00467F"/>
          <w:sz w:val="26"/>
        </w:rPr>
        <w:t>●  LEY 21.719 — MÓDULO 4 PARTE 2: DPIA EJEMPLO, RAT, TRANSFERENCIAS Y SANCIONES</w:t>
      </w:r>
    </w:p>
    <w:p>
      <w:pPr>
        <w:spacing w:before="100" w:after="40"/>
        <w:ind w:left="425"/>
      </w:pPr>
      <w:r>
        <w:rPr>
          <w:rFonts w:ascii="Calibri" w:hAnsi="Calibri"/>
          <w:b/>
          <w:i w:val="0"/>
          <w:color w:val="0070C0"/>
          <w:sz w:val="24"/>
        </w:rPr>
        <w:t>▸  DPIA — EJEMPLO VIDEOVIGILANCIA</w:t>
      </w:r>
    </w:p>
    <w:p>
      <w:pPr>
        <w:spacing w:before="40" w:after="40"/>
        <w:ind w:left="850"/>
      </w:pPr>
      <w:r>
        <w:rPr>
          <w:rFonts w:ascii="Calibri" w:hAnsi="Calibri"/>
          <w:b/>
          <w:i w:val="0"/>
          <w:color w:val="468246"/>
          <w:sz w:val="22"/>
        </w:rPr>
        <w:t>–  Base legal: interés legítimo (consentimiento inviable operativamente)</w:t>
      </w:r>
    </w:p>
    <w:p>
      <w:pPr>
        <w:spacing w:before="40" w:after="40"/>
        <w:ind w:left="850"/>
      </w:pPr>
      <w:r>
        <w:rPr>
          <w:rFonts w:ascii="Calibri" w:hAnsi="Calibri"/>
          <w:b/>
          <w:i w:val="0"/>
          <w:color w:val="468246"/>
          <w:sz w:val="22"/>
        </w:rPr>
        <w:t>–  Zonas: áreas comunes, pasillos, estacionamiento — SIN baños ni oficinas individuales</w:t>
      </w:r>
    </w:p>
    <w:p>
      <w:pPr>
        <w:spacing w:before="40" w:after="40"/>
        <w:ind w:left="850"/>
      </w:pPr>
      <w:r>
        <w:rPr>
          <w:rFonts w:ascii="Calibri" w:hAnsi="Calibri"/>
          <w:b/>
          <w:i w:val="0"/>
          <w:color w:val="468246"/>
          <w:sz w:val="22"/>
        </w:rPr>
        <w:t>–  Características: solo imagen (sin audio) + borrado automático 30 días</w:t>
      </w:r>
    </w:p>
    <w:p>
      <w:pPr>
        <w:spacing w:before="40" w:after="40"/>
        <w:ind w:left="850"/>
      </w:pPr>
      <w:r>
        <w:rPr>
          <w:rFonts w:ascii="Calibri" w:hAnsi="Calibri"/>
          <w:b/>
          <w:i w:val="0"/>
          <w:color w:val="468246"/>
          <w:sz w:val="22"/>
        </w:rPr>
        <w:t>–  Alternativas evaluadas y descartadas (obligatorio documentarlas)</w:t>
      </w:r>
    </w:p>
    <w:p>
      <w:pPr>
        <w:spacing w:before="40" w:after="40"/>
        <w:ind w:left="850"/>
      </w:pPr>
      <w:r>
        <w:rPr>
          <w:rFonts w:ascii="Calibri" w:hAnsi="Calibri"/>
          <w:b/>
          <w:i w:val="0"/>
          <w:color w:val="468246"/>
          <w:sz w:val="22"/>
        </w:rPr>
        <w:t>–  Análisis de riesgos: impacto × probabilidad = nivel → medida de mitigación</w:t>
      </w:r>
    </w:p>
    <w:p>
      <w:pPr>
        <w:spacing w:before="40" w:after="40"/>
        <w:ind w:left="850"/>
      </w:pPr>
      <w:r>
        <w:rPr>
          <w:rFonts w:ascii="Calibri" w:hAnsi="Calibri"/>
          <w:b/>
          <w:i w:val="0"/>
          <w:color w:val="468246"/>
          <w:sz w:val="22"/>
        </w:rPr>
        <w:t>–  Riesgo residual no alto → no requiere consulta previa a la Agencia</w:t>
      </w:r>
    </w:p>
    <w:p>
      <w:pPr>
        <w:spacing w:before="40" w:after="40"/>
        <w:ind w:left="850"/>
      </w:pPr>
      <w:r>
        <w:rPr>
          <w:rFonts w:ascii="Calibri" w:hAnsi="Calibri"/>
          <w:b/>
          <w:i w:val="0"/>
          <w:color w:val="468246"/>
          <w:sz w:val="22"/>
        </w:rPr>
        <w:t>–  Conclusión firmada por el DPD con fecha y versión</w:t>
      </w:r>
    </w:p>
    <w:p>
      <w:pPr>
        <w:spacing w:before="100" w:after="40"/>
        <w:ind w:left="425"/>
      </w:pPr>
      <w:r>
        <w:rPr>
          <w:rFonts w:ascii="Calibri" w:hAnsi="Calibri"/>
          <w:b/>
          <w:i w:val="0"/>
          <w:color w:val="0070C0"/>
          <w:sz w:val="24"/>
        </w:rPr>
        <w:t>▸  RAT — Registro de Actividades de Tratamiento</w:t>
      </w:r>
    </w:p>
    <w:p>
      <w:pPr>
        <w:spacing w:before="40" w:after="40"/>
        <w:ind w:left="850"/>
      </w:pPr>
      <w:r>
        <w:rPr>
          <w:rFonts w:ascii="Calibri" w:hAnsi="Calibri"/>
          <w:b/>
          <w:i w:val="0"/>
          <w:color w:val="468246"/>
          <w:sz w:val="22"/>
        </w:rPr>
        <w:t>–  Herramienta central del accountability</w:t>
      </w:r>
    </w:p>
    <w:p>
      <w:pPr>
        <w:spacing w:before="40" w:after="40"/>
        <w:ind w:left="850"/>
      </w:pPr>
      <w:r>
        <w:rPr>
          <w:rFonts w:ascii="Calibri" w:hAnsi="Calibri"/>
          <w:b/>
          <w:i w:val="0"/>
          <w:color w:val="468246"/>
          <w:sz w:val="22"/>
        </w:rPr>
        <w:t>–  Campos mínimos: responsable, nombre, finalidad, base legal, datos, titulares, destinatarios, transferencias, plazo, seguridad</w:t>
      </w:r>
    </w:p>
    <w:p>
      <w:pPr>
        <w:spacing w:before="40" w:after="40"/>
        <w:ind w:left="850"/>
      </w:pPr>
      <w:r>
        <w:rPr>
          <w:rFonts w:ascii="Calibri" w:hAnsi="Calibri"/>
          <w:b/>
          <w:i w:val="0"/>
          <w:color w:val="468246"/>
          <w:sz w:val="22"/>
        </w:rPr>
        <w:t>–  Documento VIVO: actualizar ante cada nuevo tratamiento o cambio</w:t>
      </w:r>
    </w:p>
    <w:p>
      <w:pPr>
        <w:spacing w:before="40" w:after="40"/>
        <w:ind w:left="850"/>
      </w:pPr>
      <w:r>
        <w:rPr>
          <w:rFonts w:ascii="Calibri" w:hAnsi="Calibri"/>
          <w:b/>
          <w:i w:val="0"/>
          <w:color w:val="468246"/>
          <w:sz w:val="22"/>
        </w:rPr>
        <w:t>–  Base legal: concreta y específica (no genérica)</w:t>
      </w:r>
    </w:p>
    <w:p>
      <w:pPr>
        <w:spacing w:before="40" w:after="40"/>
        <w:ind w:left="850"/>
      </w:pPr>
      <w:r>
        <w:rPr>
          <w:rFonts w:ascii="Calibri" w:hAnsi="Calibri"/>
          <w:b/>
          <w:i w:val="0"/>
          <w:color w:val="468246"/>
          <w:sz w:val="22"/>
        </w:rPr>
        <w:t>–  Revisar anualmente + conservar historial de versiones</w:t>
      </w:r>
    </w:p>
    <w:p>
      <w:pPr>
        <w:spacing w:before="40" w:after="40"/>
        <w:ind w:left="850"/>
      </w:pPr>
      <w:r>
        <w:rPr>
          <w:rFonts w:ascii="Calibri" w:hAnsi="Calibri"/>
          <w:b/>
          <w:i w:val="0"/>
          <w:color w:val="468246"/>
          <w:sz w:val="22"/>
        </w:rPr>
        <w:t>–  Asignar responsable interno por cada tratamiento</w:t>
      </w:r>
    </w:p>
    <w:p>
      <w:pPr>
        <w:spacing w:before="100" w:after="40"/>
        <w:ind w:left="425"/>
      </w:pPr>
      <w:r>
        <w:rPr>
          <w:rFonts w:ascii="Calibri" w:hAnsi="Calibri"/>
          <w:b/>
          <w:i w:val="0"/>
          <w:color w:val="0070C0"/>
          <w:sz w:val="24"/>
        </w:rPr>
        <w:t>▸  TRANSFERENCIAS INTERNACIONALES</w:t>
      </w:r>
    </w:p>
    <w:p>
      <w:pPr>
        <w:spacing w:before="40" w:after="40"/>
        <w:ind w:left="850"/>
      </w:pPr>
      <w:r>
        <w:rPr>
          <w:rFonts w:ascii="Calibri" w:hAnsi="Calibri"/>
          <w:b/>
          <w:i w:val="0"/>
          <w:color w:val="468246"/>
          <w:sz w:val="22"/>
        </w:rPr>
        <w:t>–  Riesgo oculto: cloud hosting en país desconocido = transferencia inadvertida</w:t>
      </w:r>
    </w:p>
    <w:p>
      <w:pPr>
        <w:spacing w:before="40" w:after="40"/>
        <w:ind w:left="850"/>
      </w:pPr>
      <w:r>
        <w:rPr>
          <w:rFonts w:ascii="Calibri" w:hAnsi="Calibri"/>
          <w:b/>
          <w:i w:val="0"/>
          <w:color w:val="468246"/>
          <w:sz w:val="22"/>
        </w:rPr>
        <w:t>–  Garantías: decisión de adecuación / SCC / BCR / consentimiento explícito</w:t>
      </w:r>
    </w:p>
    <w:p>
      <w:pPr>
        <w:spacing w:before="40" w:after="40"/>
        <w:ind w:left="850"/>
      </w:pPr>
      <w:r>
        <w:rPr>
          <w:rFonts w:ascii="Calibri" w:hAnsi="Calibri"/>
          <w:b/>
          <w:i w:val="0"/>
          <w:color w:val="468246"/>
          <w:sz w:val="22"/>
        </w:rPr>
        <w:t>–  Chile NO está en lista de países adecuados del RGPD (Argentina y Uruguay SÍ)</w:t>
      </w:r>
    </w:p>
    <w:p>
      <w:pPr>
        <w:spacing w:before="40" w:after="40"/>
        <w:ind w:left="850"/>
      </w:pPr>
      <w:r>
        <w:rPr>
          <w:rFonts w:ascii="Calibri" w:hAnsi="Calibri"/>
          <w:b/>
          <w:i w:val="0"/>
          <w:color w:val="468246"/>
          <w:sz w:val="22"/>
        </w:rPr>
        <w:t>–  Registrar en el RAT: país destino + mecanismo de garantía</w:t>
      </w:r>
    </w:p>
    <w:p>
      <w:pPr>
        <w:spacing w:before="100" w:after="40"/>
        <w:ind w:left="425"/>
      </w:pPr>
      <w:r>
        <w:rPr>
          <w:rFonts w:ascii="Calibri" w:hAnsi="Calibri"/>
          <w:b/>
          <w:i w:val="0"/>
          <w:color w:val="0070C0"/>
          <w:sz w:val="24"/>
        </w:rPr>
        <w:t>▸  MODELO DE PREVENCIÓN DE INFRACCIONES (voluntario)</w:t>
      </w:r>
    </w:p>
    <w:p>
      <w:pPr>
        <w:spacing w:before="40" w:after="40"/>
        <w:ind w:left="850"/>
      </w:pPr>
      <w:r>
        <w:rPr>
          <w:rFonts w:ascii="Calibri" w:hAnsi="Calibri"/>
          <w:b/>
          <w:i w:val="0"/>
          <w:color w:val="468246"/>
          <w:sz w:val="22"/>
        </w:rPr>
        <w:t>–  Si se adhiere → DPD obligatorio</w:t>
      </w:r>
    </w:p>
    <w:p>
      <w:pPr>
        <w:spacing w:before="40" w:after="40"/>
        <w:ind w:left="850"/>
      </w:pPr>
      <w:r>
        <w:rPr>
          <w:rFonts w:ascii="Calibri" w:hAnsi="Calibri"/>
          <w:b/>
          <w:i w:val="0"/>
          <w:color w:val="468246"/>
          <w:sz w:val="22"/>
        </w:rPr>
        <w:t>–  Elementos: DPD + medios/facultades + riesgos + protocolos + reportes + sanciones internas</w:t>
      </w:r>
    </w:p>
    <w:p>
      <w:pPr>
        <w:spacing w:before="40" w:after="40"/>
        <w:ind w:left="850"/>
      </w:pPr>
      <w:r>
        <w:rPr>
          <w:rFonts w:ascii="Calibri" w:hAnsi="Calibri"/>
          <w:b/>
          <w:i w:val="0"/>
          <w:color w:val="468246"/>
          <w:sz w:val="22"/>
        </w:rPr>
        <w:t>–  Certificación: 3 años de vigencia, renovable</w:t>
      </w:r>
    </w:p>
    <w:p>
      <w:pPr>
        <w:spacing w:before="40" w:after="40"/>
        <w:ind w:left="850"/>
      </w:pPr>
      <w:r>
        <w:rPr>
          <w:rFonts w:ascii="Calibri" w:hAnsi="Calibri"/>
          <w:b/>
          <w:i w:val="0"/>
          <w:color w:val="468246"/>
          <w:sz w:val="22"/>
        </w:rPr>
        <w:t>–  Beneficio: ATENUANTE legal ante multas de la Agencia</w:t>
      </w:r>
    </w:p>
    <w:p>
      <w:pPr>
        <w:spacing w:before="40" w:after="40"/>
        <w:ind w:left="850"/>
      </w:pPr>
      <w:r>
        <w:rPr>
          <w:rFonts w:ascii="Calibri" w:hAnsi="Calibri"/>
          <w:b/>
          <w:i w:val="0"/>
          <w:color w:val="468246"/>
          <w:sz w:val="22"/>
        </w:rPr>
        <w:t>–  Debe incluirse en contratos de trabajo y prestación de servicios</w:t>
      </w:r>
    </w:p>
    <w:p>
      <w:pPr>
        <w:spacing w:before="100" w:after="40"/>
        <w:ind w:left="425"/>
      </w:pPr>
      <w:r>
        <w:rPr>
          <w:rFonts w:ascii="Calibri" w:hAnsi="Calibri"/>
          <w:b/>
          <w:i w:val="0"/>
          <w:color w:val="0070C0"/>
          <w:sz w:val="24"/>
        </w:rPr>
        <w:t>▸  DEBER DE REPORTAR VULNERACIONES</w:t>
      </w:r>
    </w:p>
    <w:p>
      <w:pPr>
        <w:spacing w:before="40" w:after="40"/>
        <w:ind w:left="850"/>
      </w:pPr>
      <w:r>
        <w:rPr>
          <w:rFonts w:ascii="Calibri" w:hAnsi="Calibri"/>
          <w:b/>
          <w:i w:val="0"/>
          <w:color w:val="468246"/>
          <w:sz w:val="22"/>
        </w:rPr>
        <w:t>–  A la Agencia: siempre que ocurra vulneración con riesgo para titulares</w:t>
      </w:r>
    </w:p>
    <w:p>
      <w:pPr>
        <w:spacing w:before="40" w:after="40"/>
        <w:ind w:left="850"/>
      </w:pPr>
      <w:r>
        <w:rPr>
          <w:rFonts w:ascii="Calibri" w:hAnsi="Calibri"/>
          <w:b/>
          <w:i w:val="0"/>
          <w:color w:val="468246"/>
          <w:sz w:val="22"/>
        </w:rPr>
        <w:t>–  Contenido: naturaleza + efectos + categoría datos + Nº titulares + medidas</w:t>
      </w:r>
    </w:p>
    <w:p>
      <w:pPr>
        <w:spacing w:before="40" w:after="40"/>
        <w:ind w:left="850"/>
      </w:pPr>
      <w:r>
        <w:rPr>
          <w:rFonts w:ascii="Calibri" w:hAnsi="Calibri"/>
          <w:b/>
          <w:i w:val="0"/>
          <w:color w:val="468246"/>
          <w:sz w:val="22"/>
        </w:rPr>
        <w:t>–  A los titulares: obligatorio si afecta datos sensibles, menores &lt;14 años o datos económicos</w:t>
      </w:r>
    </w:p>
    <w:p>
      <w:pPr>
        <w:spacing w:before="100" w:after="40"/>
        <w:ind w:left="425"/>
      </w:pPr>
      <w:r>
        <w:rPr>
          <w:rFonts w:ascii="Calibri" w:hAnsi="Calibri"/>
          <w:b/>
          <w:i w:val="0"/>
          <w:color w:val="0070C0"/>
          <w:sz w:val="24"/>
        </w:rPr>
        <w:t>▸  SANCIONES (resumen — detalle en Módulo 6)</w:t>
      </w:r>
    </w:p>
    <w:p>
      <w:pPr>
        <w:spacing w:before="40" w:after="40"/>
        <w:ind w:left="850"/>
      </w:pPr>
      <w:r>
        <w:rPr>
          <w:rFonts w:ascii="Calibri" w:hAnsi="Calibri"/>
          <w:b/>
          <w:i w:val="0"/>
          <w:color w:val="468246"/>
          <w:sz w:val="22"/>
        </w:rPr>
        <w:t>–  Leve: hasta 5.000 UTM</w:t>
      </w:r>
    </w:p>
    <w:p>
      <w:pPr>
        <w:spacing w:before="40" w:after="40"/>
        <w:ind w:left="850"/>
      </w:pPr>
      <w:r>
        <w:rPr>
          <w:rFonts w:ascii="Calibri" w:hAnsi="Calibri"/>
          <w:b/>
          <w:i w:val="0"/>
          <w:color w:val="468246"/>
          <w:sz w:val="22"/>
        </w:rPr>
        <w:t>–  Grave: hasta 10.000 UTM</w:t>
      </w:r>
    </w:p>
    <w:p>
      <w:pPr>
        <w:spacing w:before="40" w:after="40"/>
        <w:ind w:left="850"/>
      </w:pPr>
      <w:r>
        <w:rPr>
          <w:rFonts w:ascii="Calibri" w:hAnsi="Calibri"/>
          <w:b/>
          <w:i w:val="0"/>
          <w:color w:val="468246"/>
          <w:sz w:val="22"/>
        </w:rPr>
        <w:t>–  Gravísima: hasta 20.000 UTM</w:t>
      </w:r>
    </w:p>
    <w:p>
      <w:pPr>
        <w:spacing w:before="40" w:after="40"/>
        <w:ind w:left="850"/>
      </w:pPr>
      <w:r>
        <w:rPr>
          <w:rFonts w:ascii="Calibri" w:hAnsi="Calibri"/>
          <w:b/>
          <w:i w:val="0"/>
          <w:color w:val="468246"/>
          <w:sz w:val="22"/>
        </w:rPr>
        <w:t>–  Reiteración: hasta 2% de ingresos anuales</w:t>
      </w:r>
    </w:p>
    <w:p>
      <w:pPr>
        <w:spacing w:before="40" w:after="40"/>
        <w:ind w:left="850"/>
      </w:pPr>
      <w:r>
        <w:rPr>
          <w:rFonts w:ascii="Calibri" w:hAnsi="Calibri"/>
          <w:b/>
          <w:i w:val="0"/>
          <w:color w:val="468246"/>
          <w:sz w:val="22"/>
        </w:rPr>
        <w:t>–  PYMES: advertencia en lugar de multa hasta dic. 2027</w:t>
      </w:r>
    </w:p>
    <w:p>
      <w:pPr>
        <w:spacing w:before="100" w:after="40"/>
        <w:ind w:left="425"/>
      </w:pPr>
      <w:r>
        <w:rPr>
          <w:rFonts w:ascii="Calibri" w:hAnsi="Calibri"/>
          <w:b/>
          <w:i w:val="0"/>
          <w:color w:val="0070C0"/>
          <w:sz w:val="24"/>
        </w:rPr>
        <w:t>▸  CICLO DEL ACCOUNTABILITY</w:t>
      </w:r>
    </w:p>
    <w:p>
      <w:pPr>
        <w:spacing w:before="40" w:after="40"/>
        <w:ind w:left="850"/>
      </w:pPr>
      <w:r>
        <w:rPr>
          <w:rFonts w:ascii="Calibri" w:hAnsi="Calibri"/>
          <w:b/>
          <w:i w:val="0"/>
          <w:color w:val="468246"/>
          <w:sz w:val="22"/>
        </w:rPr>
        <w:t>–  Diseño → Evaluación (DPIA) → Implementación → Monitoreo (RAT) → Acreditación</w:t>
      </w:r>
    </w:p>
    <w:p>
      <w:pPr>
        <w:spacing w:before="40" w:after="40"/>
        <w:ind w:left="850"/>
      </w:pPr>
      <w:r>
        <w:rPr>
          <w:rFonts w:ascii="Calibri" w:hAnsi="Calibri"/>
          <w:b/>
          <w:i w:val="0"/>
          <w:color w:val="468246"/>
          <w:sz w:val="22"/>
        </w:rPr>
        <w:t>–  No basta cumplir: hay que demostrar que se cumple — siempre</w:t>
      </w:r>
    </w:p>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9. FRASES Y CONCEPTOS CLAVE PARA TU CONVERSACIÓN</w:t>
      </w:r>
    </w:p>
    <w:p>
      <w:pPr>
        <w:spacing w:before="160" w:after="40"/>
      </w:pPr>
      <w:r>
        <w:rPr>
          <w:rFonts w:ascii="Calibri" w:hAnsi="Calibri"/>
          <w:b/>
          <w:i w:val="0"/>
          <w:color w:val="00467F"/>
          <w:sz w:val="22"/>
        </w:rPr>
        <w:t>▸  La DPIA siempre debe evaluar alternativas</w:t>
      </w:r>
    </w:p>
    <w:p>
      <w:pPr>
        <w:spacing w:after="80"/>
        <w:ind w:left="454"/>
      </w:pPr>
      <w:r>
        <w:rPr>
          <w:rFonts w:ascii="Calibri" w:hAnsi="Calibri"/>
          <w:b w:val="0"/>
          <w:i w:val="0"/>
          <w:color w:val="3C3C3C"/>
          <w:sz w:val="20"/>
        </w:rPr>
        <w:t>No basta elegir el sistema menos intrusivo: hay que documentar qué otras opciones se consideraron y por qué fueron descartadas. Un tribunal o la Agencia pueden preguntar justamente eso.</w:t>
      </w:r>
    </w:p>
    <w:p>
      <w:pPr>
        <w:spacing w:before="160" w:after="40"/>
      </w:pPr>
      <w:r>
        <w:rPr>
          <w:rFonts w:ascii="Calibri" w:hAnsi="Calibri"/>
          <w:b/>
          <w:i w:val="0"/>
          <w:color w:val="00467F"/>
          <w:sz w:val="22"/>
        </w:rPr>
        <w:t>▸  Análisis de riesgo = impacto × probabilidad</w:t>
      </w:r>
    </w:p>
    <w:p>
      <w:pPr>
        <w:spacing w:after="80"/>
        <w:ind w:left="454"/>
      </w:pPr>
      <w:r>
        <w:rPr>
          <w:rFonts w:ascii="Calibri" w:hAnsi="Calibri"/>
          <w:b w:val="0"/>
          <w:i w:val="0"/>
          <w:color w:val="3C3C3C"/>
          <w:sz w:val="20"/>
        </w:rPr>
        <w:t>El nivel de riesgo de un tratamiento es la combinación de qué tan grave sería si ocurre (impacto) y qué tan probable es que ocurra (probabilidad). Las medidas de mitigación deben apuntar a reducir ambas variables.</w:t>
      </w:r>
    </w:p>
    <w:p>
      <w:pPr>
        <w:spacing w:before="160" w:after="40"/>
      </w:pPr>
      <w:r>
        <w:rPr>
          <w:rFonts w:ascii="Calibri" w:hAnsi="Calibri"/>
          <w:b/>
          <w:i w:val="0"/>
          <w:color w:val="00467F"/>
          <w:sz w:val="22"/>
        </w:rPr>
        <w:t>▸  El RAT es un documento vivo, no un trámite</w:t>
      </w:r>
    </w:p>
    <w:p>
      <w:pPr>
        <w:spacing w:after="80"/>
        <w:ind w:left="454"/>
      </w:pPr>
      <w:r>
        <w:rPr>
          <w:rFonts w:ascii="Calibri" w:hAnsi="Calibri"/>
          <w:b w:val="0"/>
          <w:i w:val="0"/>
          <w:color w:val="3C3C3C"/>
          <w:sz w:val="20"/>
        </w:rPr>
        <w:t>No se construye una vez y se archiva. Debe actualizarse ante cada nuevo tratamiento, cada cambio de finalidad o cada modificación de las medidas de seguridad. La Agencia puede solicitarlo en cualquier momento.</w:t>
      </w:r>
    </w:p>
    <w:p>
      <w:pPr>
        <w:spacing w:before="160" w:after="40"/>
      </w:pPr>
      <w:r>
        <w:rPr>
          <w:rFonts w:ascii="Calibri" w:hAnsi="Calibri"/>
          <w:b/>
          <w:i w:val="0"/>
          <w:color w:val="00467F"/>
          <w:sz w:val="22"/>
        </w:rPr>
        <w:t>▸  Cloud sin verificar = transferencia internacional inadvertida</w:t>
      </w:r>
    </w:p>
    <w:p>
      <w:pPr>
        <w:spacing w:after="80"/>
        <w:ind w:left="454"/>
      </w:pPr>
      <w:r>
        <w:rPr>
          <w:rFonts w:ascii="Calibri" w:hAnsi="Calibri"/>
          <w:b w:val="0"/>
          <w:i w:val="0"/>
          <w:color w:val="3C3C3C"/>
          <w:sz w:val="20"/>
        </w:rPr>
        <w:t>Contratar hosting o almacenamiento en la nube sin saber en qué país están los servidores puede constituir una transferencia internacional de datos sin garantías. Hay que verificarlo y registrarlo en el RAT.</w:t>
      </w:r>
    </w:p>
    <w:p>
      <w:pPr>
        <w:spacing w:before="160" w:after="40"/>
      </w:pPr>
      <w:r>
        <w:rPr>
          <w:rFonts w:ascii="Calibri" w:hAnsi="Calibri"/>
          <w:b/>
          <w:i w:val="0"/>
          <w:color w:val="00467F"/>
          <w:sz w:val="22"/>
        </w:rPr>
        <w:t>▸  Chile espera la 'decisión de adecuación' de la UE</w:t>
      </w:r>
    </w:p>
    <w:p>
      <w:pPr>
        <w:spacing w:after="80"/>
        <w:ind w:left="454"/>
      </w:pPr>
      <w:r>
        <w:rPr>
          <w:rFonts w:ascii="Calibri" w:hAnsi="Calibri"/>
          <w:b w:val="0"/>
          <w:i w:val="0"/>
          <w:color w:val="3C3C3C"/>
          <w:sz w:val="20"/>
        </w:rPr>
        <w:t>Cuando la Ley 21.719 entre en vigencia y se demuestre su efectivo cumplimiento, Chile podría ser declarado país adecuado por la UE, lo que facilitaría enormemente los flujos de datos con Europa.</w:t>
      </w:r>
    </w:p>
    <w:p>
      <w:pPr>
        <w:spacing w:before="160" w:after="40"/>
      </w:pPr>
      <w:r>
        <w:rPr>
          <w:rFonts w:ascii="Calibri" w:hAnsi="Calibri"/>
          <w:b/>
          <w:i w:val="0"/>
          <w:color w:val="00467F"/>
          <w:sz w:val="22"/>
        </w:rPr>
        <w:t>▸  El Modelo de Prevención es voluntario pero su valor es concreto</w:t>
      </w:r>
    </w:p>
    <w:p>
      <w:pPr>
        <w:spacing w:after="80"/>
        <w:ind w:left="454"/>
      </w:pPr>
      <w:r>
        <w:rPr>
          <w:rFonts w:ascii="Calibri" w:hAnsi="Calibri"/>
          <w:b w:val="0"/>
          <w:i w:val="0"/>
          <w:color w:val="3C3C3C"/>
          <w:sz w:val="20"/>
        </w:rPr>
        <w:t>Una organización certificada puede reducir significativamente el monto de una multa ante la Agencia. Para empresas con alto volumen de datos personales, el costo de certificarse puede ser mucho menor que el ahorro potencial en sanciones.</w:t>
      </w:r>
    </w:p>
    <w:p>
      <w:pPr>
        <w:spacing w:before="160" w:after="40"/>
      </w:pPr>
      <w:r>
        <w:rPr>
          <w:rFonts w:ascii="Calibri" w:hAnsi="Calibri"/>
          <w:b/>
          <w:i w:val="0"/>
          <w:color w:val="00467F"/>
          <w:sz w:val="22"/>
        </w:rPr>
        <w:t>▸  Nunca borrar datos sin fundamento legal</w:t>
      </w:r>
    </w:p>
    <w:p>
      <w:pPr>
        <w:spacing w:after="80"/>
        <w:ind w:left="454"/>
      </w:pPr>
      <w:r>
        <w:rPr>
          <w:rFonts w:ascii="Calibri" w:hAnsi="Calibri"/>
          <w:b w:val="0"/>
          <w:i w:val="0"/>
          <w:color w:val="3C3C3C"/>
          <w:sz w:val="20"/>
        </w:rPr>
        <w:t>Antes de la Ley 21.719, borrar datos era rutinario en IT. Ahora, suprimir datos cuando hay obligación legal de conservarlos (SII: 6 años mínimo; historiales médicos; datos para defensa judicial) es una infracción grave. Hay que conocer los plazos legales antes de ejecutar cualquier borrado masivo.</w:t>
      </w:r>
    </w:p>
    <w:p>
      <w:pPr>
        <w:spacing w:before="160" w:after="40"/>
      </w:pPr>
      <w:r>
        <w:rPr>
          <w:rFonts w:ascii="Calibri" w:hAnsi="Calibri"/>
          <w:b/>
          <w:i w:val="0"/>
          <w:color w:val="00467F"/>
          <w:sz w:val="22"/>
        </w:rPr>
        <w:t>▸  El reporte de brechas tiene dos canales distintos</w:t>
      </w:r>
    </w:p>
    <w:p>
      <w:pPr>
        <w:spacing w:after="80"/>
        <w:ind w:left="454"/>
      </w:pPr>
      <w:r>
        <w:rPr>
          <w:rFonts w:ascii="Calibri" w:hAnsi="Calibri"/>
          <w:b w:val="0"/>
          <w:i w:val="0"/>
          <w:color w:val="3C3C3C"/>
          <w:sz w:val="20"/>
        </w:rPr>
        <w:t>A la Agencia: cuando ocurre cualquier vulneración con riesgo para los titulares. A los propios titulares: solo cuando los datos comprometidos son sensibles, de menores de 14 años o de obligaciones económicas. Son obligaciones separadas con plazos distintos.</w:t>
      </w:r>
    </w:p>
    <w:p>
      <w:pPr>
        <w:spacing w:before="160" w:after="40"/>
      </w:pPr>
      <w:r>
        <w:rPr>
          <w:rFonts w:ascii="Calibri" w:hAnsi="Calibri"/>
          <w:b/>
          <w:i w:val="0"/>
          <w:color w:val="00467F"/>
          <w:sz w:val="22"/>
        </w:rPr>
        <w:t>▸  2% de los ingresos anuales puede ser enorme</w:t>
      </w:r>
    </w:p>
    <w:p>
      <w:pPr>
        <w:spacing w:after="80"/>
        <w:ind w:left="454"/>
      </w:pPr>
      <w:r>
        <w:rPr>
          <w:rFonts w:ascii="Calibri" w:hAnsi="Calibri"/>
          <w:b w:val="0"/>
          <w:i w:val="0"/>
          <w:color w:val="3C3C3C"/>
          <w:sz w:val="20"/>
        </w:rPr>
        <w:t>Para grandes organizaciones, el límite de 2% de ingresos anuales en casos de reiteración puede superar ampliamente los 20.000 UTM del techo nominal. El RGPD europeo llega al 4% en sus casos más graves — la escala chilena es similar en espíritu.</w:t>
      </w:r>
    </w:p>
    <w:p>
      <w:pPr>
        <w:spacing w:before="160" w:after="40"/>
      </w:pPr>
      <w:r>
        <w:rPr>
          <w:rFonts w:ascii="Calibri" w:hAnsi="Calibri"/>
          <w:b/>
          <w:i w:val="0"/>
          <w:color w:val="00467F"/>
          <w:sz w:val="22"/>
        </w:rPr>
        <w:t>▸  El ciclo del accountability no termina nunca</w:t>
      </w:r>
    </w:p>
    <w:p>
      <w:pPr>
        <w:spacing w:after="80"/>
        <w:ind w:left="454"/>
      </w:pPr>
      <w:r>
        <w:rPr>
          <w:rFonts w:ascii="Calibri" w:hAnsi="Calibri"/>
          <w:b w:val="0"/>
          <w:i w:val="0"/>
          <w:color w:val="3C3C3C"/>
          <w:sz w:val="20"/>
        </w:rPr>
        <w:t>Diseñar → evaluar → implementar → monitorear → acreditar. Cada nuevo tratamiento, sistema o proveedor reinicia el ciclo. La protección de datos no es un proyecto con fecha de término: es una función permanente.</w:t>
      </w:r>
    </w:p>
    <w:p/>
    <w:p>
      <w:pPr>
        <w:jc w:val="center"/>
      </w:pPr>
      <w:r>
        <w:rPr>
          <w:rFonts w:ascii="Calibri" w:hAnsi="Calibri"/>
          <w:b w:val="0"/>
          <w:i w:val="0"/>
          <w:color w:val="969696"/>
          <w:sz w:val="18"/>
        </w:rPr>
        <w:t>Curso Probes  |  Ley 21.719 de Protección de Datos Personales  |  Módulo 4 — Parte 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