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i w:val="0"/>
          <w:color w:val="00467F"/>
          <w:sz w:val="36"/>
        </w:rPr>
        <w:t>LEY 21.719 DE PROTECCIÓN DE DATOS PERSONALES</w:t>
      </w:r>
    </w:p>
    <w:p>
      <w:pPr>
        <w:jc w:val="center"/>
      </w:pPr>
      <w:r>
        <w:rPr>
          <w:b w:val="0"/>
          <w:i/>
          <w:color w:val="0070C0"/>
          <w:sz w:val="28"/>
        </w:rPr>
        <w:t>Módulo 6 · Apartado 2 — Comparativa GDPR vs Ley 21.719</w:t>
      </w:r>
    </w:p>
    <w:p>
      <w:pPr>
        <w:jc w:val="center"/>
      </w:pPr>
      <w:r>
        <w:rPr>
          <w:b w:val="0"/>
          <w:i w:val="0"/>
          <w:color w:val="646464"/>
          <w:sz w:val="20"/>
        </w:rPr>
        <w:t>Instructor: Miguel Ángel Díaz  |  Ley 21.719 vigente desde 1° de diciembre de 2026</w:t>
      </w:r>
    </w:p>
    <w:p>
      <w:pPr>
        <w:spacing w:before="80" w:after="80"/>
        <w:pBdr>
          <w:bottom w:val="single" w:sz="6" w:space="1" w:color="BFBFBF"/>
        </w:pBdr>
      </w:pPr>
    </w:p>
    <w:p>
      <w:pPr>
        <w:spacing w:before="280" w:after="80"/>
      </w:pPr>
      <w:r>
        <w:rPr>
          <w:b/>
          <w:i w:val="0"/>
          <w:color w:val="00467F"/>
          <w:sz w:val="28"/>
        </w:rPr>
        <w:t>GDPR COMO MODELO PARA LA LEY 21.719</w:t>
      </w:r>
    </w:p>
    <w:p>
      <w:r>
        <w:rPr>
          <w:b w:val="0"/>
          <w:i w:val="0"/>
          <w:color w:val="000000"/>
          <w:sz w:val="21"/>
        </w:rPr>
        <w:t>La Ley 21.719 de Chile está fuertemente inspirada en el Reglamento General de Protección de Datos (GDPR) de la Unión Europea, vigente desde mayo de 2018. Comprender las similitudes y diferencias entre ambos marcos normativos es fundamental para implementar correctamente el cumplimiento y anticipar el tipo de infracciones que la autoridad chilena priorizará.</w:t>
      </w:r>
    </w:p>
    <w:p>
      <w:pPr>
        <w:spacing w:before="60" w:after="100"/>
        <w:ind w:left="283"/>
      </w:pPr>
      <w:r>
        <w:rPr>
          <w:b w:val="0"/>
          <w:i/>
          <w:color w:val="8C0000"/>
          <w:sz w:val="20"/>
        </w:rPr>
        <w:t>⚠  La experiencia europea muestra qué errores son más frecuentes y costosos. Chile puede aprender de esta trayectoria para evitar los mismos fallos desde el inicio.</w:t>
      </w:r>
    </w:p>
    <w:p>
      <w:pPr>
        <w:spacing w:before="280" w:after="80"/>
      </w:pPr>
      <w:r>
        <w:rPr>
          <w:b/>
          <w:i w:val="0"/>
          <w:color w:val="00467F"/>
          <w:sz w:val="28"/>
        </w:rPr>
        <w:t>COMPARATIVA DE PRINCIPIOS: GDPR ART. 5 vs LEY 21.719 ART. 3</w:t>
      </w:r>
    </w:p>
    <w:tbl>
      <w:tblPr>
        <w:tblStyle w:val="TableGrid"/>
        <w:tblW w:type="auto" w:w="0"/>
        <w:jc w:val="center"/>
        <w:tblLook w:firstColumn="1" w:firstRow="1" w:lastColumn="0" w:lastRow="0" w:noHBand="0" w:noVBand="1" w:val="04A0"/>
      </w:tblPr>
      <w:tblGrid>
        <w:gridCol w:w="3041"/>
        <w:gridCol w:w="3041"/>
        <w:gridCol w:w="3041"/>
      </w:tblGrid>
      <w:tr>
        <w:tc>
          <w:tcPr>
            <w:tcW w:type="dxa" w:w="2835"/>
            <w:shd w:val="clear" w:color="auto" w:fill="003F7F"/>
          </w:tcPr>
          <w:p>
            <w:r>
              <w:rPr>
                <w:b/>
                <w:i w:val="0"/>
                <w:color w:val="FFFFFF"/>
                <w:sz w:val="20"/>
              </w:rPr>
              <w:t>Principio GDPR (Art. 5)</w:t>
            </w:r>
          </w:p>
        </w:tc>
        <w:tc>
          <w:tcPr>
            <w:tcW w:type="dxa" w:w="2835"/>
            <w:shd w:val="clear" w:color="auto" w:fill="003F7F"/>
          </w:tcPr>
          <w:p>
            <w:r>
              <w:rPr>
                <w:b/>
                <w:i w:val="0"/>
                <w:color w:val="FFFFFF"/>
                <w:sz w:val="20"/>
              </w:rPr>
              <w:t>Equivalente Ley 21.719 (Art. 3)</w:t>
            </w:r>
          </w:p>
        </w:tc>
        <w:tc>
          <w:tcPr>
            <w:tcW w:type="dxa" w:w="3969"/>
            <w:shd w:val="clear" w:color="auto" w:fill="003F7F"/>
          </w:tcPr>
          <w:p>
            <w:r>
              <w:rPr>
                <w:b/>
                <w:i w:val="0"/>
                <w:color w:val="FFFFFF"/>
                <w:sz w:val="20"/>
              </w:rPr>
              <w:t>Observaciones</w:t>
            </w:r>
          </w:p>
        </w:tc>
      </w:tr>
      <w:tr>
        <w:tc>
          <w:tcPr>
            <w:tcW w:type="dxa" w:w="2835"/>
          </w:tcPr>
          <w:p>
            <w:r>
              <w:rPr>
                <w:b w:val="0"/>
                <w:i w:val="0"/>
                <w:color w:val="000000"/>
                <w:sz w:val="20"/>
              </w:rPr>
              <w:t>Licitud, lealtad y transparencia</w:t>
            </w:r>
          </w:p>
        </w:tc>
        <w:tc>
          <w:tcPr>
            <w:tcW w:type="dxa" w:w="2835"/>
          </w:tcPr>
          <w:p>
            <w:r>
              <w:rPr>
                <w:b w:val="0"/>
                <w:i w:val="0"/>
                <w:color w:val="000000"/>
                <w:sz w:val="20"/>
              </w:rPr>
              <w:t>Licitud</w:t>
            </w:r>
          </w:p>
        </w:tc>
        <w:tc>
          <w:tcPr>
            <w:tcW w:type="dxa" w:w="3969"/>
          </w:tcPr>
          <w:p>
            <w:r>
              <w:rPr>
                <w:b w:val="0"/>
                <w:i w:val="0"/>
                <w:color w:val="000000"/>
                <w:sz w:val="20"/>
              </w:rPr>
              <w:t>La ley chilena los separa en principios distintos</w:t>
            </w:r>
          </w:p>
        </w:tc>
      </w:tr>
      <w:tr>
        <w:tc>
          <w:tcPr>
            <w:tcW w:type="dxa" w:w="2835"/>
            <w:shd w:val="clear" w:color="auto" w:fill="EBF3FB"/>
          </w:tcPr>
          <w:p>
            <w:r>
              <w:rPr>
                <w:b w:val="0"/>
                <w:i w:val="0"/>
                <w:color w:val="000000"/>
                <w:sz w:val="20"/>
              </w:rPr>
              <w:t>Limitación de la finalidad</w:t>
            </w:r>
          </w:p>
        </w:tc>
        <w:tc>
          <w:tcPr>
            <w:tcW w:type="dxa" w:w="2835"/>
            <w:shd w:val="clear" w:color="auto" w:fill="EBF3FB"/>
          </w:tcPr>
          <w:p>
            <w:r>
              <w:rPr>
                <w:b w:val="0"/>
                <w:i w:val="0"/>
                <w:color w:val="000000"/>
                <w:sz w:val="20"/>
              </w:rPr>
              <w:t>Finalidad</w:t>
            </w:r>
          </w:p>
        </w:tc>
        <w:tc>
          <w:tcPr>
            <w:tcW w:type="dxa" w:w="3969"/>
            <w:shd w:val="clear" w:color="auto" w:fill="EBF3FB"/>
          </w:tcPr>
          <w:p>
            <w:r>
              <w:rPr>
                <w:b w:val="0"/>
                <w:i w:val="0"/>
                <w:color w:val="000000"/>
                <w:sz w:val="20"/>
              </w:rPr>
              <w:t>Concordancia directa entre ambas normas</w:t>
            </w:r>
          </w:p>
        </w:tc>
      </w:tr>
      <w:tr>
        <w:tc>
          <w:tcPr>
            <w:tcW w:type="dxa" w:w="2835"/>
          </w:tcPr>
          <w:p>
            <w:r>
              <w:rPr>
                <w:b w:val="0"/>
                <w:i w:val="0"/>
                <w:color w:val="000000"/>
                <w:sz w:val="20"/>
              </w:rPr>
              <w:t>Minimización de datos</w:t>
            </w:r>
          </w:p>
        </w:tc>
        <w:tc>
          <w:tcPr>
            <w:tcW w:type="dxa" w:w="2835"/>
          </w:tcPr>
          <w:p>
            <w:r>
              <w:rPr>
                <w:b w:val="0"/>
                <w:i w:val="0"/>
                <w:color w:val="000000"/>
                <w:sz w:val="20"/>
              </w:rPr>
              <w:t>Proporcionalidad</w:t>
            </w:r>
          </w:p>
        </w:tc>
        <w:tc>
          <w:tcPr>
            <w:tcW w:type="dxa" w:w="3969"/>
          </w:tcPr>
          <w:p>
            <w:r>
              <w:rPr>
                <w:b w:val="0"/>
                <w:i w:val="0"/>
                <w:color w:val="000000"/>
                <w:sz w:val="20"/>
              </w:rPr>
              <w:t>Mismo concepto, diferente denominación</w:t>
            </w:r>
          </w:p>
        </w:tc>
      </w:tr>
      <w:tr>
        <w:tc>
          <w:tcPr>
            <w:tcW w:type="dxa" w:w="2835"/>
            <w:shd w:val="clear" w:color="auto" w:fill="EBF3FB"/>
          </w:tcPr>
          <w:p>
            <w:r>
              <w:rPr>
                <w:b w:val="0"/>
                <w:i w:val="0"/>
                <w:color w:val="000000"/>
                <w:sz w:val="20"/>
              </w:rPr>
              <w:t>Exactitud</w:t>
            </w:r>
          </w:p>
        </w:tc>
        <w:tc>
          <w:tcPr>
            <w:tcW w:type="dxa" w:w="2835"/>
            <w:shd w:val="clear" w:color="auto" w:fill="EBF3FB"/>
          </w:tcPr>
          <w:p>
            <w:r>
              <w:rPr>
                <w:b w:val="0"/>
                <w:i w:val="0"/>
                <w:color w:val="000000"/>
                <w:sz w:val="20"/>
              </w:rPr>
              <w:t>Calidad</w:t>
            </w:r>
          </w:p>
        </w:tc>
        <w:tc>
          <w:tcPr>
            <w:tcW w:type="dxa" w:w="3969"/>
            <w:shd w:val="clear" w:color="auto" w:fill="EBF3FB"/>
          </w:tcPr>
          <w:p>
            <w:r>
              <w:rPr>
                <w:b w:val="0"/>
                <w:i w:val="0"/>
                <w:color w:val="000000"/>
                <w:sz w:val="20"/>
              </w:rPr>
              <w:t>La ley chilena incluye actualización y corrección</w:t>
            </w:r>
          </w:p>
        </w:tc>
      </w:tr>
      <w:tr>
        <w:tc>
          <w:tcPr>
            <w:tcW w:type="dxa" w:w="2835"/>
          </w:tcPr>
          <w:p>
            <w:r>
              <w:rPr>
                <w:b w:val="0"/>
                <w:i w:val="0"/>
                <w:color w:val="000000"/>
                <w:sz w:val="20"/>
              </w:rPr>
              <w:t>Limitación del plazo de conservación</w:t>
            </w:r>
          </w:p>
        </w:tc>
        <w:tc>
          <w:tcPr>
            <w:tcW w:type="dxa" w:w="2835"/>
          </w:tcPr>
          <w:p>
            <w:r>
              <w:rPr>
                <w:b w:val="0"/>
                <w:i w:val="0"/>
                <w:color w:val="000000"/>
                <w:sz w:val="20"/>
              </w:rPr>
              <w:t>Temporalidad</w:t>
            </w:r>
          </w:p>
        </w:tc>
        <w:tc>
          <w:tcPr>
            <w:tcW w:type="dxa" w:w="3969"/>
          </w:tcPr>
          <w:p>
            <w:r>
              <w:rPr>
                <w:b w:val="0"/>
                <w:i w:val="0"/>
                <w:color w:val="000000"/>
                <w:sz w:val="20"/>
              </w:rPr>
              <w:t>Deber de supresión al cumplir la finalidad</w:t>
            </w:r>
          </w:p>
        </w:tc>
      </w:tr>
      <w:tr>
        <w:tc>
          <w:tcPr>
            <w:tcW w:type="dxa" w:w="2835"/>
            <w:shd w:val="clear" w:color="auto" w:fill="EBF3FB"/>
          </w:tcPr>
          <w:p>
            <w:r>
              <w:rPr>
                <w:b w:val="0"/>
                <w:i w:val="0"/>
                <w:color w:val="000000"/>
                <w:sz w:val="20"/>
              </w:rPr>
              <w:t>Integridad y confidencialidad</w:t>
            </w:r>
          </w:p>
        </w:tc>
        <w:tc>
          <w:tcPr>
            <w:tcW w:type="dxa" w:w="2835"/>
            <w:shd w:val="clear" w:color="auto" w:fill="EBF3FB"/>
          </w:tcPr>
          <w:p>
            <w:r>
              <w:rPr>
                <w:b w:val="0"/>
                <w:i w:val="0"/>
                <w:color w:val="000000"/>
                <w:sz w:val="20"/>
              </w:rPr>
              <w:t>Seguridad</w:t>
            </w:r>
          </w:p>
        </w:tc>
        <w:tc>
          <w:tcPr>
            <w:tcW w:type="dxa" w:w="3969"/>
            <w:shd w:val="clear" w:color="auto" w:fill="EBF3FB"/>
          </w:tcPr>
          <w:p>
            <w:r>
              <w:rPr>
                <w:b w:val="0"/>
                <w:i w:val="0"/>
                <w:color w:val="000000"/>
                <w:sz w:val="20"/>
              </w:rPr>
              <w:t>Obliga a medidas técnicas y organizativas</w:t>
            </w:r>
          </w:p>
        </w:tc>
      </w:tr>
      <w:tr>
        <w:tc>
          <w:tcPr>
            <w:tcW w:type="dxa" w:w="2835"/>
          </w:tcPr>
          <w:p>
            <w:r>
              <w:rPr>
                <w:b w:val="0"/>
                <w:i w:val="0"/>
                <w:color w:val="000000"/>
                <w:sz w:val="20"/>
              </w:rPr>
              <w:t>Responsabilidad proactiva</w:t>
            </w:r>
          </w:p>
        </w:tc>
        <w:tc>
          <w:tcPr>
            <w:tcW w:type="dxa" w:w="2835"/>
          </w:tcPr>
          <w:p>
            <w:r>
              <w:rPr>
                <w:b w:val="0"/>
                <w:i w:val="0"/>
                <w:color w:val="000000"/>
                <w:sz w:val="20"/>
              </w:rPr>
              <w:t>Responsabilidad (accountability)</w:t>
            </w:r>
          </w:p>
        </w:tc>
        <w:tc>
          <w:tcPr>
            <w:tcW w:type="dxa" w:w="3969"/>
          </w:tcPr>
          <w:p>
            <w:r>
              <w:rPr>
                <w:b w:val="0"/>
                <w:i w:val="0"/>
                <w:color w:val="000000"/>
                <w:sz w:val="20"/>
              </w:rPr>
              <w:t>Deber de demostrar cumplimiento activo</w:t>
            </w:r>
          </w:p>
        </w:tc>
      </w:tr>
      <w:tr>
        <w:tc>
          <w:tcPr>
            <w:tcW w:type="dxa" w:w="2835"/>
            <w:shd w:val="clear" w:color="auto" w:fill="EBF3FB"/>
          </w:tcPr>
          <w:p>
            <w:r>
              <w:rPr>
                <w:b w:val="0"/>
                <w:i w:val="0"/>
                <w:color w:val="000000"/>
                <w:sz w:val="20"/>
              </w:rPr>
              <w:t>—</w:t>
            </w:r>
          </w:p>
        </w:tc>
        <w:tc>
          <w:tcPr>
            <w:tcW w:type="dxa" w:w="2835"/>
            <w:shd w:val="clear" w:color="auto" w:fill="EBF3FB"/>
          </w:tcPr>
          <w:p>
            <w:r>
              <w:rPr>
                <w:b w:val="0"/>
                <w:i w:val="0"/>
                <w:color w:val="000000"/>
                <w:sz w:val="20"/>
              </w:rPr>
              <w:t>Información (adicional en ley chilena)</w:t>
            </w:r>
          </w:p>
        </w:tc>
        <w:tc>
          <w:tcPr>
            <w:tcW w:type="dxa" w:w="3969"/>
            <w:shd w:val="clear" w:color="auto" w:fill="EBF3FB"/>
          </w:tcPr>
          <w:p>
            <w:r>
              <w:rPr>
                <w:b w:val="0"/>
                <w:i w:val="0"/>
                <w:color w:val="000000"/>
                <w:sz w:val="20"/>
              </w:rPr>
              <w:t>Principio presente en la ley chilena sin equivalente directo en Art. 5 GDPR</w:t>
            </w:r>
          </w:p>
        </w:tc>
      </w:tr>
    </w:tbl>
    <w:p/>
    <w:p>
      <w:pPr>
        <w:spacing w:before="60" w:after="100"/>
        <w:ind w:left="283"/>
      </w:pPr>
      <w:r>
        <w:rPr>
          <w:b w:val="0"/>
          <w:i/>
          <w:color w:val="8C0000"/>
          <w:sz w:val="20"/>
        </w:rPr>
        <w:t>⚠  La Ley 21.719 contempla 8 principios frente a los 7 del GDPR Art. 5. El principio de 'Información' es adicional en la norma chilena. En lo sustancial, ambas normas son prácticamente equivalentes.</w:t>
      </w:r>
    </w:p>
    <w:p>
      <w:pPr>
        <w:spacing w:before="280" w:after="80"/>
      </w:pPr>
      <w:r>
        <w:rPr>
          <w:b/>
          <w:i w:val="0"/>
          <w:color w:val="00467F"/>
          <w:sz w:val="28"/>
        </w:rPr>
        <w:t>ESTADÍSTICAS EUROPEAS DE INFRACCIONES (ENFORCEMENTTRACKER.COM)</w:t>
      </w:r>
    </w:p>
    <w:p>
      <w:r>
        <w:rPr>
          <w:b w:val="0"/>
          <w:i w:val="0"/>
          <w:color w:val="000000"/>
          <w:sz w:val="21"/>
        </w:rPr>
        <w:t>El sitio enforcementtracker.com recopila todas las multas impuestas por las autoridades europeas bajo el GDPR. El análisis de estas estadísticas revela cuáles son los errores más frecuentes y costosos, orientando así las prioridades de cumplimiento.</w:t>
      </w:r>
    </w:p>
    <w:p>
      <w:pPr>
        <w:spacing w:before="200" w:after="80"/>
      </w:pPr>
      <w:r>
        <w:rPr>
          <w:b/>
          <w:i w:val="0"/>
          <w:color w:val="0070C0"/>
          <w:sz w:val="24"/>
        </w:rPr>
        <w:t>Motivos Principales de Infracciones (por Monto Total de Multas)</w:t>
      </w:r>
    </w:p>
    <w:tbl>
      <w:tblPr>
        <w:tblStyle w:val="TableGrid"/>
        <w:tblW w:type="auto" w:w="0"/>
        <w:jc w:val="center"/>
        <w:tblLook w:firstColumn="1" w:firstRow="1" w:lastColumn="0" w:lastRow="0" w:noHBand="0" w:noVBand="1" w:val="04A0"/>
      </w:tblPr>
      <w:tblGrid>
        <w:gridCol w:w="3041"/>
        <w:gridCol w:w="3041"/>
        <w:gridCol w:w="3041"/>
      </w:tblGrid>
      <w:tr>
        <w:tc>
          <w:tcPr>
            <w:tcW w:type="dxa" w:w="3685"/>
            <w:shd w:val="clear" w:color="auto" w:fill="003F7F"/>
          </w:tcPr>
          <w:p>
            <w:r>
              <w:rPr>
                <w:b/>
                <w:i w:val="0"/>
                <w:color w:val="FFFFFF"/>
                <w:sz w:val="20"/>
              </w:rPr>
              <w:t>Motivo de Infracción</w:t>
            </w:r>
          </w:p>
        </w:tc>
        <w:tc>
          <w:tcPr>
            <w:tcW w:type="dxa" w:w="2268"/>
            <w:shd w:val="clear" w:color="auto" w:fill="003F7F"/>
          </w:tcPr>
          <w:p>
            <w:r>
              <w:rPr>
                <w:b/>
                <w:i w:val="0"/>
                <w:color w:val="FFFFFF"/>
                <w:sz w:val="20"/>
              </w:rPr>
              <w:t>Monto Acumulado Aprox.</w:t>
            </w:r>
          </w:p>
        </w:tc>
        <w:tc>
          <w:tcPr>
            <w:tcW w:type="dxa" w:w="3685"/>
            <w:shd w:val="clear" w:color="auto" w:fill="003F7F"/>
          </w:tcPr>
          <w:p>
            <w:r>
              <w:rPr>
                <w:b/>
                <w:i w:val="0"/>
                <w:color w:val="FFFFFF"/>
                <w:sz w:val="20"/>
              </w:rPr>
              <w:t>Impacto</w:t>
            </w:r>
          </w:p>
        </w:tc>
      </w:tr>
      <w:tr>
        <w:tc>
          <w:tcPr>
            <w:tcW w:type="dxa" w:w="3685"/>
          </w:tcPr>
          <w:p>
            <w:r>
              <w:rPr>
                <w:b w:val="0"/>
                <w:i w:val="0"/>
                <w:color w:val="000000"/>
                <w:sz w:val="20"/>
              </w:rPr>
              <w:t>Base jurídica insuficiente o inexistente</w:t>
            </w:r>
          </w:p>
        </w:tc>
        <w:tc>
          <w:tcPr>
            <w:tcW w:type="dxa" w:w="2268"/>
          </w:tcPr>
          <w:p>
            <w:r>
              <w:rPr>
                <w:b w:val="0"/>
                <w:i w:val="0"/>
                <w:color w:val="000000"/>
                <w:sz w:val="20"/>
              </w:rPr>
              <w:t>&gt; 3.000 millones €</w:t>
            </w:r>
          </w:p>
        </w:tc>
        <w:tc>
          <w:tcPr>
            <w:tcW w:type="dxa" w:w="3685"/>
          </w:tcPr>
          <w:p>
            <w:r>
              <w:rPr>
                <w:b w:val="0"/>
                <w:i w:val="0"/>
                <w:color w:val="000000"/>
                <w:sz w:val="20"/>
              </w:rPr>
              <w:t>Mayor causa de multas en Europa</w:t>
            </w:r>
          </w:p>
        </w:tc>
      </w:tr>
      <w:tr>
        <w:tc>
          <w:tcPr>
            <w:tcW w:type="dxa" w:w="3685"/>
            <w:shd w:val="clear" w:color="auto" w:fill="EBF3FB"/>
          </w:tcPr>
          <w:p>
            <w:r>
              <w:rPr>
                <w:b w:val="0"/>
                <w:i w:val="0"/>
                <w:color w:val="000000"/>
                <w:sz w:val="20"/>
              </w:rPr>
              <w:t>Incumplimiento de principios de tratamiento</w:t>
            </w:r>
          </w:p>
        </w:tc>
        <w:tc>
          <w:tcPr>
            <w:tcW w:type="dxa" w:w="2268"/>
            <w:shd w:val="clear" w:color="auto" w:fill="EBF3FB"/>
          </w:tcPr>
          <w:p>
            <w:r>
              <w:rPr>
                <w:b w:val="0"/>
                <w:i w:val="0"/>
                <w:color w:val="000000"/>
                <w:sz w:val="20"/>
              </w:rPr>
              <w:t>~ 2.500 millones €</w:t>
            </w:r>
          </w:p>
        </w:tc>
        <w:tc>
          <w:tcPr>
            <w:tcW w:type="dxa" w:w="3685"/>
            <w:shd w:val="clear" w:color="auto" w:fill="EBF3FB"/>
          </w:tcPr>
          <w:p>
            <w:r>
              <w:rPr>
                <w:b w:val="0"/>
                <w:i w:val="0"/>
                <w:color w:val="000000"/>
                <w:sz w:val="20"/>
              </w:rPr>
              <w:t>Segunda causa más frecuente</w:t>
            </w:r>
          </w:p>
        </w:tc>
      </w:tr>
      <w:tr>
        <w:tc>
          <w:tcPr>
            <w:tcW w:type="dxa" w:w="3685"/>
          </w:tcPr>
          <w:p>
            <w:r>
              <w:rPr>
                <w:b w:val="0"/>
                <w:i w:val="0"/>
                <w:color w:val="000000"/>
                <w:sz w:val="20"/>
              </w:rPr>
              <w:t>Fallos de seguridad de la información</w:t>
            </w:r>
          </w:p>
        </w:tc>
        <w:tc>
          <w:tcPr>
            <w:tcW w:type="dxa" w:w="2268"/>
          </w:tcPr>
          <w:p>
            <w:r>
              <w:rPr>
                <w:b w:val="0"/>
                <w:i w:val="0"/>
                <w:color w:val="000000"/>
                <w:sz w:val="20"/>
              </w:rPr>
              <w:t>~ 1.000 millones €</w:t>
            </w:r>
          </w:p>
        </w:tc>
        <w:tc>
          <w:tcPr>
            <w:tcW w:type="dxa" w:w="3685"/>
          </w:tcPr>
          <w:p>
            <w:r>
              <w:rPr>
                <w:b w:val="0"/>
                <w:i w:val="0"/>
                <w:color w:val="000000"/>
                <w:sz w:val="20"/>
              </w:rPr>
              <w:t>Tercera causa en importancia</w:t>
            </w:r>
          </w:p>
        </w:tc>
      </w:tr>
      <w:tr>
        <w:tc>
          <w:tcPr>
            <w:tcW w:type="dxa" w:w="3685"/>
            <w:shd w:val="clear" w:color="auto" w:fill="EBF3FB"/>
          </w:tcPr>
          <w:p>
            <w:r>
              <w:rPr>
                <w:b w:val="0"/>
                <w:i w:val="0"/>
                <w:color w:val="000000"/>
                <w:sz w:val="20"/>
              </w:rPr>
              <w:t>Vulneración de derechos de los interesados</w:t>
            </w:r>
          </w:p>
        </w:tc>
        <w:tc>
          <w:tcPr>
            <w:tcW w:type="dxa" w:w="2268"/>
            <w:shd w:val="clear" w:color="auto" w:fill="EBF3FB"/>
          </w:tcPr>
          <w:p>
            <w:r>
              <w:rPr>
                <w:b w:val="0"/>
                <w:i w:val="0"/>
                <w:color w:val="000000"/>
                <w:sz w:val="20"/>
              </w:rPr>
              <w:t>Cientos de millones €</w:t>
            </w:r>
          </w:p>
        </w:tc>
        <w:tc>
          <w:tcPr>
            <w:tcW w:type="dxa" w:w="3685"/>
            <w:shd w:val="clear" w:color="auto" w:fill="EBF3FB"/>
          </w:tcPr>
          <w:p>
            <w:r>
              <w:rPr>
                <w:b w:val="0"/>
                <w:i w:val="0"/>
                <w:color w:val="000000"/>
                <w:sz w:val="20"/>
              </w:rPr>
              <w:t>Incluye ARCO y portabilidad</w:t>
            </w:r>
          </w:p>
        </w:tc>
      </w:tr>
      <w:tr>
        <w:tc>
          <w:tcPr>
            <w:tcW w:type="dxa" w:w="3685"/>
          </w:tcPr>
          <w:p>
            <w:r>
              <w:rPr>
                <w:b w:val="0"/>
                <w:i w:val="0"/>
                <w:color w:val="000000"/>
                <w:sz w:val="20"/>
              </w:rPr>
              <w:t>Falta de cooperación con la autoridad</w:t>
            </w:r>
          </w:p>
        </w:tc>
        <w:tc>
          <w:tcPr>
            <w:tcW w:type="dxa" w:w="2268"/>
          </w:tcPr>
          <w:p>
            <w:r>
              <w:rPr>
                <w:b w:val="0"/>
                <w:i w:val="0"/>
                <w:color w:val="000000"/>
                <w:sz w:val="20"/>
              </w:rPr>
              <w:t>Decenas de millones €</w:t>
            </w:r>
          </w:p>
        </w:tc>
        <w:tc>
          <w:tcPr>
            <w:tcW w:type="dxa" w:w="3685"/>
          </w:tcPr>
          <w:p>
            <w:r>
              <w:rPr>
                <w:b w:val="0"/>
                <w:i w:val="0"/>
                <w:color w:val="000000"/>
                <w:sz w:val="20"/>
              </w:rPr>
              <w:t>Agrava cualquier infracción</w:t>
            </w:r>
          </w:p>
        </w:tc>
      </w:tr>
    </w:tbl>
    <w:p/>
    <w:p>
      <w:pPr>
        <w:spacing w:before="60" w:after="100"/>
        <w:ind w:left="283"/>
      </w:pPr>
      <w:r>
        <w:rPr>
          <w:b w:val="0"/>
          <w:i/>
          <w:color w:val="8C0000"/>
          <w:sz w:val="20"/>
        </w:rPr>
        <w:t>⚠  Las tres primeras causas (base jurídica, principios y seguridad) concentran la gran mayoría del valor total de multas en Europa. Son las áreas donde el cumplimiento debe ser más robusto.</w:t>
      </w:r>
    </w:p>
    <w:p>
      <w:pPr>
        <w:spacing w:before="280" w:after="80"/>
      </w:pPr>
      <w:r>
        <w:rPr>
          <w:b/>
          <w:i w:val="0"/>
          <w:color w:val="00467F"/>
          <w:sz w:val="28"/>
        </w:rPr>
        <w:t>FALLOS COMUNES DE SEGURIDAD IDENTIFICADOS EN EUROPA</w:t>
      </w:r>
    </w:p>
    <w:p>
      <w:pPr>
        <w:spacing w:before="200" w:after="80"/>
      </w:pPr>
      <w:r>
        <w:rPr>
          <w:b/>
          <w:i w:val="0"/>
          <w:color w:val="0070C0"/>
          <w:sz w:val="24"/>
        </w:rPr>
        <w:t>Categorías de Fallas Técnicas</w:t>
      </w:r>
    </w:p>
    <w:p>
      <w:pPr>
        <w:spacing w:before="40" w:after="40"/>
        <w:ind w:left="454"/>
      </w:pPr>
      <w:r>
        <w:rPr>
          <w:b w:val="0"/>
          <w:i w:val="0"/>
          <w:color w:val="000000"/>
          <w:sz w:val="21"/>
        </w:rPr>
        <w:t>• Almacenamiento de contraseñas sin cifrado o con cifrado débil.</w:t>
      </w:r>
    </w:p>
    <w:p>
      <w:pPr>
        <w:spacing w:before="40" w:after="40"/>
        <w:ind w:left="454"/>
      </w:pPr>
      <w:r>
        <w:rPr>
          <w:b w:val="0"/>
          <w:i w:val="0"/>
          <w:color w:val="000000"/>
          <w:sz w:val="21"/>
        </w:rPr>
        <w:t>• Ausencia de autenticación de doble factor en sistemas críticos.</w:t>
      </w:r>
    </w:p>
    <w:p>
      <w:pPr>
        <w:spacing w:before="40" w:after="40"/>
        <w:ind w:left="454"/>
      </w:pPr>
      <w:r>
        <w:rPr>
          <w:b w:val="0"/>
          <w:i w:val="0"/>
          <w:color w:val="000000"/>
          <w:sz w:val="21"/>
        </w:rPr>
        <w:t>• Falta de controles de acceso por roles (principio de mínimo privilegio).</w:t>
      </w:r>
    </w:p>
    <w:p>
      <w:pPr>
        <w:spacing w:before="40" w:after="40"/>
        <w:ind w:left="454"/>
      </w:pPr>
      <w:r>
        <w:rPr>
          <w:b w:val="0"/>
          <w:i w:val="0"/>
          <w:color w:val="000000"/>
          <w:sz w:val="21"/>
        </w:rPr>
        <w:t>• Configuraciones de dominio de correo sin SPF, DKIM y DMARC (riesgo de spoofing).</w:t>
      </w:r>
    </w:p>
    <w:p>
      <w:pPr>
        <w:spacing w:before="40" w:after="40"/>
        <w:ind w:left="454"/>
      </w:pPr>
      <w:r>
        <w:rPr>
          <w:b w:val="0"/>
          <w:i w:val="0"/>
          <w:color w:val="000000"/>
          <w:sz w:val="21"/>
        </w:rPr>
        <w:t>• Datos almacenados sin cifrado en tránsito ni en reposo.</w:t>
      </w:r>
    </w:p>
    <w:p>
      <w:pPr>
        <w:spacing w:before="40" w:after="40"/>
        <w:ind w:left="454"/>
      </w:pPr>
      <w:r>
        <w:rPr>
          <w:b w:val="0"/>
          <w:i w:val="0"/>
          <w:color w:val="000000"/>
          <w:sz w:val="21"/>
        </w:rPr>
        <w:t>• Ausencia de registros de acceso y auditoría (logs).</w:t>
      </w:r>
    </w:p>
    <w:p>
      <w:pPr>
        <w:spacing w:before="200" w:after="80"/>
      </w:pPr>
      <w:r>
        <w:rPr>
          <w:b/>
          <w:i w:val="0"/>
          <w:color w:val="0070C0"/>
          <w:sz w:val="24"/>
        </w:rPr>
        <w:t>Categorías de Fallas Organizativas</w:t>
      </w:r>
    </w:p>
    <w:p>
      <w:pPr>
        <w:spacing w:before="40" w:after="40"/>
        <w:ind w:left="454"/>
      </w:pPr>
      <w:r>
        <w:rPr>
          <w:b w:val="0"/>
          <w:i w:val="0"/>
          <w:color w:val="000000"/>
          <w:sz w:val="21"/>
        </w:rPr>
        <w:t>• Sin política de seguridad de la información documentada y difundida.</w:t>
      </w:r>
    </w:p>
    <w:p>
      <w:pPr>
        <w:spacing w:before="40" w:after="40"/>
        <w:ind w:left="454"/>
      </w:pPr>
      <w:r>
        <w:rPr>
          <w:b w:val="0"/>
          <w:i w:val="0"/>
          <w:color w:val="000000"/>
          <w:sz w:val="21"/>
        </w:rPr>
        <w:t>• Sin procedimiento de respuesta a brechas de seguridad.</w:t>
      </w:r>
    </w:p>
    <w:p>
      <w:pPr>
        <w:spacing w:before="40" w:after="40"/>
        <w:ind w:left="454"/>
      </w:pPr>
      <w:r>
        <w:rPr>
          <w:b w:val="0"/>
          <w:i w:val="0"/>
          <w:color w:val="000000"/>
          <w:sz w:val="21"/>
        </w:rPr>
        <w:t>• Sin evaluaciones de impacto (DPIA/EIPD) previas al tratamiento de alto riesgo.</w:t>
      </w:r>
    </w:p>
    <w:p>
      <w:pPr>
        <w:spacing w:before="40" w:after="40"/>
        <w:ind w:left="454"/>
      </w:pPr>
      <w:r>
        <w:rPr>
          <w:b w:val="0"/>
          <w:i w:val="0"/>
          <w:color w:val="000000"/>
          <w:sz w:val="21"/>
        </w:rPr>
        <w:t>• Contratos con encargados del tratamiento incompletos o inexistentes.</w:t>
      </w:r>
    </w:p>
    <w:p>
      <w:pPr>
        <w:spacing w:before="40" w:after="40"/>
        <w:ind w:left="454"/>
      </w:pPr>
      <w:r>
        <w:rPr>
          <w:b w:val="0"/>
          <w:i w:val="0"/>
          <w:color w:val="000000"/>
          <w:sz w:val="21"/>
        </w:rPr>
        <w:t>• Personal sin capacitación en protección de datos.</w:t>
      </w:r>
    </w:p>
    <w:p>
      <w:pPr>
        <w:spacing w:before="80" w:after="80"/>
        <w:pBdr>
          <w:bottom w:val="single" w:sz="6" w:space="1" w:color="BFBFBF"/>
        </w:pBdr>
      </w:pPr>
    </w:p>
    <w:p>
      <w:pPr>
        <w:spacing w:before="280" w:after="80"/>
      </w:pPr>
      <w:r>
        <w:rPr>
          <w:b/>
          <w:i w:val="0"/>
          <w:color w:val="00467F"/>
          <w:sz w:val="28"/>
        </w:rPr>
        <w:t>ROL DEL DPO/DPD Y MULTAS POR INCUMPLIMIENTO</w:t>
      </w:r>
    </w:p>
    <w:p>
      <w:r>
        <w:rPr>
          <w:b w:val="0"/>
          <w:i w:val="0"/>
          <w:color w:val="000000"/>
          <w:sz w:val="21"/>
        </w:rPr>
        <w:t>El Delegado de Protección de Datos (DPD en español / DPO en inglés) es una figura clave en el cumplimiento normativo. Actúa como asesor interno y punto de contacto con la autoridad de control. En Chile, la Ley 21.719 también contempla esta figura con funciones análogas.</w:t>
      </w:r>
    </w:p>
    <w:p>
      <w:pPr>
        <w:spacing w:before="200" w:after="80"/>
      </w:pPr>
      <w:r>
        <w:rPr>
          <w:b/>
          <w:i w:val="0"/>
          <w:color w:val="0070C0"/>
          <w:sz w:val="24"/>
        </w:rPr>
        <w:t>Funciones Principales del DPO/DPD</w:t>
      </w:r>
    </w:p>
    <w:p>
      <w:pPr>
        <w:spacing w:before="40" w:after="40"/>
        <w:ind w:left="454"/>
      </w:pPr>
      <w:r>
        <w:rPr>
          <w:b w:val="0"/>
          <w:i w:val="0"/>
          <w:color w:val="000000"/>
          <w:sz w:val="21"/>
        </w:rPr>
        <w:t>• Asesorar a la organización sobre el cumplimiento de la normativa.</w:t>
      </w:r>
    </w:p>
    <w:p>
      <w:pPr>
        <w:spacing w:before="40" w:after="40"/>
        <w:ind w:left="454"/>
      </w:pPr>
      <w:r>
        <w:rPr>
          <w:b w:val="0"/>
          <w:i w:val="0"/>
          <w:color w:val="000000"/>
          <w:sz w:val="21"/>
        </w:rPr>
        <w:t>• Actuar como punto de contacto con la autoridad de control (APDC en Chile).</w:t>
      </w:r>
    </w:p>
    <w:p>
      <w:pPr>
        <w:spacing w:before="40" w:after="40"/>
        <w:ind w:left="454"/>
      </w:pPr>
      <w:r>
        <w:rPr>
          <w:b w:val="0"/>
          <w:i w:val="0"/>
          <w:color w:val="000000"/>
          <w:sz w:val="21"/>
        </w:rPr>
        <w:t>• Supervisar la implementación de medidas técnicas y organizativas.</w:t>
      </w:r>
    </w:p>
    <w:p>
      <w:pPr>
        <w:spacing w:before="40" w:after="40"/>
        <w:ind w:left="454"/>
      </w:pPr>
      <w:r>
        <w:rPr>
          <w:b w:val="0"/>
          <w:i w:val="0"/>
          <w:color w:val="000000"/>
          <w:sz w:val="21"/>
        </w:rPr>
        <w:t>• Coordinar y participar en las evaluaciones de impacto (EIPD/DPIA).</w:t>
      </w:r>
    </w:p>
    <w:p>
      <w:pPr>
        <w:spacing w:before="40" w:after="40"/>
        <w:ind w:left="454"/>
      </w:pPr>
      <w:r>
        <w:rPr>
          <w:b w:val="0"/>
          <w:i w:val="0"/>
          <w:color w:val="000000"/>
          <w:sz w:val="21"/>
        </w:rPr>
        <w:t>• Gestionar las solicitudes de ejercicio de derechos de los titulares.</w:t>
      </w:r>
    </w:p>
    <w:p>
      <w:pPr>
        <w:spacing w:before="200" w:after="80"/>
      </w:pPr>
      <w:r>
        <w:rPr>
          <w:b/>
          <w:i w:val="0"/>
          <w:color w:val="0070C0"/>
          <w:sz w:val="24"/>
        </w:rPr>
        <w:t>¿Cuándo es Obligatorio el DPO/DPD?</w:t>
      </w:r>
    </w:p>
    <w:p>
      <w:pPr>
        <w:spacing w:before="40" w:after="40"/>
        <w:ind w:left="454"/>
      </w:pPr>
      <w:r>
        <w:rPr>
          <w:b w:val="0"/>
          <w:i w:val="0"/>
          <w:color w:val="000000"/>
          <w:sz w:val="21"/>
        </w:rPr>
        <w:t>• En entidades del sector público.</w:t>
      </w:r>
    </w:p>
    <w:p>
      <w:pPr>
        <w:spacing w:before="40" w:after="40"/>
        <w:ind w:left="454"/>
      </w:pPr>
      <w:r>
        <w:rPr>
          <w:b w:val="0"/>
          <w:i w:val="0"/>
          <w:color w:val="000000"/>
          <w:sz w:val="21"/>
        </w:rPr>
        <w:t>• Cuando el tratamiento principal implica seguimiento a gran escala de interesados.</w:t>
      </w:r>
    </w:p>
    <w:p>
      <w:pPr>
        <w:spacing w:before="40" w:after="40"/>
        <w:ind w:left="454"/>
      </w:pPr>
      <w:r>
        <w:rPr>
          <w:b w:val="0"/>
          <w:i w:val="0"/>
          <w:color w:val="000000"/>
          <w:sz w:val="21"/>
        </w:rPr>
        <w:t>• Cuando se tratan categorías especiales de datos (datos sensibles) a gran escala.</w:t>
      </w:r>
    </w:p>
    <w:p>
      <w:pPr>
        <w:spacing w:before="200" w:after="80"/>
      </w:pPr>
      <w:r>
        <w:rPr>
          <w:b/>
          <w:i w:val="0"/>
          <w:color w:val="0070C0"/>
          <w:sz w:val="24"/>
        </w:rPr>
        <w:t>Infracciones Relacionadas con el DPO en Europa</w:t>
      </w:r>
    </w:p>
    <w:tbl>
      <w:tblPr>
        <w:tblStyle w:val="TableGrid"/>
        <w:tblW w:type="auto" w:w="0"/>
        <w:jc w:val="center"/>
        <w:tblLook w:firstColumn="1" w:firstRow="1" w:lastColumn="0" w:lastRow="0" w:noHBand="0" w:noVBand="1" w:val="04A0"/>
      </w:tblPr>
      <w:tblGrid>
        <w:gridCol w:w="3041"/>
        <w:gridCol w:w="3041"/>
        <w:gridCol w:w="3041"/>
      </w:tblGrid>
      <w:tr>
        <w:tc>
          <w:tcPr>
            <w:tcW w:type="dxa" w:w="4535"/>
            <w:shd w:val="clear" w:color="auto" w:fill="003F7F"/>
          </w:tcPr>
          <w:p>
            <w:r>
              <w:rPr>
                <w:b/>
                <w:i w:val="0"/>
                <w:color w:val="FFFFFF"/>
                <w:sz w:val="20"/>
              </w:rPr>
              <w:t>Motivo de Infracción</w:t>
            </w:r>
          </w:p>
        </w:tc>
        <w:tc>
          <w:tcPr>
            <w:tcW w:type="dxa" w:w="2268"/>
            <w:shd w:val="clear" w:color="auto" w:fill="003F7F"/>
          </w:tcPr>
          <w:p>
            <w:r>
              <w:rPr>
                <w:b/>
                <w:i w:val="0"/>
                <w:color w:val="FFFFFF"/>
                <w:sz w:val="20"/>
              </w:rPr>
              <w:t>Monto Total Multas</w:t>
            </w:r>
          </w:p>
        </w:tc>
        <w:tc>
          <w:tcPr>
            <w:tcW w:type="dxa" w:w="2835"/>
            <w:shd w:val="clear" w:color="auto" w:fill="003F7F"/>
          </w:tcPr>
          <w:p>
            <w:r>
              <w:rPr>
                <w:b/>
                <w:i w:val="0"/>
                <w:color w:val="FFFFFF"/>
                <w:sz w:val="20"/>
              </w:rPr>
              <w:t>N° de Sanciones</w:t>
            </w:r>
          </w:p>
        </w:tc>
      </w:tr>
      <w:tr>
        <w:tc>
          <w:tcPr>
            <w:tcW w:type="dxa" w:w="4535"/>
          </w:tcPr>
          <w:p>
            <w:r>
              <w:rPr>
                <w:b w:val="0"/>
                <w:i w:val="0"/>
                <w:color w:val="000000"/>
                <w:sz w:val="20"/>
              </w:rPr>
              <w:t>Participación insuficiente del DPO en decisiones</w:t>
            </w:r>
          </w:p>
        </w:tc>
        <w:tc>
          <w:tcPr>
            <w:tcW w:type="dxa" w:w="2268"/>
          </w:tcPr>
          <w:p>
            <w:r>
              <w:rPr>
                <w:b w:val="0"/>
                <w:i w:val="0"/>
                <w:color w:val="000000"/>
                <w:sz w:val="20"/>
              </w:rPr>
              <w:t>978.000 €</w:t>
            </w:r>
          </w:p>
        </w:tc>
        <w:tc>
          <w:tcPr>
            <w:tcW w:type="dxa" w:w="2835"/>
          </w:tcPr>
          <w:p>
            <w:r>
              <w:rPr>
                <w:b w:val="0"/>
                <w:i w:val="0"/>
                <w:color w:val="000000"/>
                <w:sz w:val="20"/>
              </w:rPr>
              <w:t>25 sanciones</w:t>
            </w:r>
          </w:p>
        </w:tc>
      </w:tr>
      <w:tr>
        <w:tc>
          <w:tcPr>
            <w:tcW w:type="dxa" w:w="4535"/>
            <w:shd w:val="clear" w:color="auto" w:fill="EBF3FB"/>
          </w:tcPr>
          <w:p>
            <w:r>
              <w:rPr>
                <w:b w:val="0"/>
                <w:i w:val="0"/>
                <w:color w:val="000000"/>
                <w:sz w:val="20"/>
              </w:rPr>
              <w:t>Falta de nombramiento del DPO cuando era obligatorio</w:t>
            </w:r>
          </w:p>
        </w:tc>
        <w:tc>
          <w:tcPr>
            <w:tcW w:type="dxa" w:w="2268"/>
            <w:shd w:val="clear" w:color="auto" w:fill="EBF3FB"/>
          </w:tcPr>
          <w:p>
            <w:r>
              <w:rPr>
                <w:b w:val="0"/>
                <w:i w:val="0"/>
                <w:color w:val="000000"/>
                <w:sz w:val="20"/>
              </w:rPr>
              <w:t>35.000 €</w:t>
            </w:r>
          </w:p>
        </w:tc>
        <w:tc>
          <w:tcPr>
            <w:tcW w:type="dxa" w:w="2835"/>
            <w:shd w:val="clear" w:color="auto" w:fill="EBF3FB"/>
          </w:tcPr>
          <w:p>
            <w:r>
              <w:rPr>
                <w:b w:val="0"/>
                <w:i w:val="0"/>
                <w:color w:val="000000"/>
                <w:sz w:val="20"/>
              </w:rPr>
              <w:t>Varias sanciones</w:t>
            </w:r>
          </w:p>
        </w:tc>
      </w:tr>
    </w:tbl>
    <w:p/>
    <w:p>
      <w:pPr>
        <w:spacing w:before="60" w:after="100"/>
        <w:ind w:left="283"/>
      </w:pPr>
      <w:r>
        <w:rPr>
          <w:b w:val="0"/>
          <w:i/>
          <w:color w:val="8C0000"/>
          <w:sz w:val="20"/>
        </w:rPr>
        <w:t>⚠  La 'participación insuficiente' del DPO se produce cuando existe el cargo pero se le excluye de decisiones relevantes de tratamiento de datos. Nombrar un DPO sin dotarlo de autoridad real es una infracción.</w:t>
      </w:r>
    </w:p>
    <w:p>
      <w:pPr>
        <w:spacing w:before="280" w:after="80"/>
      </w:pPr>
      <w:r>
        <w:rPr>
          <w:b/>
          <w:i w:val="0"/>
          <w:color w:val="00467F"/>
          <w:sz w:val="28"/>
        </w:rPr>
        <w:t>LAS TRES PRINCIPALES CAUSAS DE FALLO EN CUMPLIMIENTO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val="clear" w:color="auto" w:fill="003F7F"/>
          </w:tcPr>
          <w:p>
            <w:r>
              <w:rPr>
                <w:b/>
                <w:i w:val="0"/>
                <w:color w:val="FFFFFF"/>
                <w:sz w:val="20"/>
              </w:rPr>
              <w:t>#</w:t>
            </w:r>
          </w:p>
        </w:tc>
        <w:tc>
          <w:tcPr>
            <w:tcW w:type="dxa" w:w="2268"/>
            <w:shd w:val="clear" w:color="auto" w:fill="003F7F"/>
          </w:tcPr>
          <w:p>
            <w:r>
              <w:rPr>
                <w:b/>
                <w:i w:val="0"/>
                <w:color w:val="FFFFFF"/>
                <w:sz w:val="20"/>
              </w:rPr>
              <w:t>Causa Principal</w:t>
            </w:r>
          </w:p>
        </w:tc>
        <w:tc>
          <w:tcPr>
            <w:tcW w:type="dxa" w:w="3402"/>
            <w:shd w:val="clear" w:color="auto" w:fill="003F7F"/>
          </w:tcPr>
          <w:p>
            <w:r>
              <w:rPr>
                <w:b/>
                <w:i w:val="0"/>
                <w:color w:val="FFFFFF"/>
                <w:sz w:val="20"/>
              </w:rPr>
              <w:t>Descripción</w:t>
            </w:r>
          </w:p>
        </w:tc>
        <w:tc>
          <w:tcPr>
            <w:tcW w:type="dxa" w:w="3402"/>
            <w:shd w:val="clear" w:color="auto" w:fill="003F7F"/>
          </w:tcPr>
          <w:p>
            <w:r>
              <w:rPr>
                <w:b/>
                <w:i w:val="0"/>
                <w:color w:val="FFFFFF"/>
                <w:sz w:val="20"/>
              </w:rPr>
              <w:t>Recomendación Clave</w:t>
            </w:r>
          </w:p>
        </w:tc>
      </w:tr>
      <w:tr>
        <w:tc>
          <w:tcPr>
            <w:tcW w:type="dxa" w:w="567"/>
          </w:tcPr>
          <w:p>
            <w:r>
              <w:rPr>
                <w:b w:val="0"/>
                <w:i w:val="0"/>
                <w:color w:val="000000"/>
                <w:sz w:val="20"/>
              </w:rPr>
              <w:t>1</w:t>
            </w:r>
          </w:p>
        </w:tc>
        <w:tc>
          <w:tcPr>
            <w:tcW w:type="dxa" w:w="2268"/>
          </w:tcPr>
          <w:p>
            <w:r>
              <w:rPr>
                <w:b w:val="0"/>
                <w:i w:val="0"/>
                <w:color w:val="000000"/>
                <w:sz w:val="20"/>
              </w:rPr>
              <w:t>Ausencia de base jurídica</w:t>
            </w:r>
          </w:p>
        </w:tc>
        <w:tc>
          <w:tcPr>
            <w:tcW w:type="dxa" w:w="3402"/>
          </w:tcPr>
          <w:p>
            <w:r>
              <w:rPr>
                <w:b w:val="0"/>
                <w:i w:val="0"/>
                <w:color w:val="000000"/>
                <w:sz w:val="20"/>
              </w:rPr>
              <w:t>Tratar datos sin contar con ninguna de las bases de licitud del Art. 13</w:t>
            </w:r>
          </w:p>
        </w:tc>
        <w:tc>
          <w:tcPr>
            <w:tcW w:type="dxa" w:w="3402"/>
          </w:tcPr>
          <w:p>
            <w:r>
              <w:rPr>
                <w:b w:val="0"/>
                <w:i w:val="0"/>
                <w:color w:val="000000"/>
                <w:sz w:val="20"/>
              </w:rPr>
              <w:t>Documentar explícitamente la base legal de cada tratamiento en el RAT</w:t>
            </w:r>
          </w:p>
        </w:tc>
      </w:tr>
      <w:tr>
        <w:tc>
          <w:tcPr>
            <w:tcW w:type="dxa" w:w="567"/>
            <w:shd w:val="clear" w:color="auto" w:fill="EBF3FB"/>
          </w:tcPr>
          <w:p>
            <w:r>
              <w:rPr>
                <w:b w:val="0"/>
                <w:i w:val="0"/>
                <w:color w:val="000000"/>
                <w:sz w:val="20"/>
              </w:rPr>
              <w:t>2</w:t>
            </w:r>
          </w:p>
        </w:tc>
        <w:tc>
          <w:tcPr>
            <w:tcW w:type="dxa" w:w="2268"/>
            <w:shd w:val="clear" w:color="auto" w:fill="EBF3FB"/>
          </w:tcPr>
          <w:p>
            <w:r>
              <w:rPr>
                <w:b w:val="0"/>
                <w:i w:val="0"/>
                <w:color w:val="000000"/>
                <w:sz w:val="20"/>
              </w:rPr>
              <w:t>Incumplimiento de principios</w:t>
            </w:r>
          </w:p>
        </w:tc>
        <w:tc>
          <w:tcPr>
            <w:tcW w:type="dxa" w:w="3402"/>
            <w:shd w:val="clear" w:color="auto" w:fill="EBF3FB"/>
          </w:tcPr>
          <w:p>
            <w:r>
              <w:rPr>
                <w:b w:val="0"/>
                <w:i w:val="0"/>
                <w:color w:val="000000"/>
                <w:sz w:val="20"/>
              </w:rPr>
              <w:t>No aplicar minimización, finalidad, temporalidad u otros principios</w:t>
            </w:r>
          </w:p>
        </w:tc>
        <w:tc>
          <w:tcPr>
            <w:tcW w:type="dxa" w:w="3402"/>
            <w:shd w:val="clear" w:color="auto" w:fill="EBF3FB"/>
          </w:tcPr>
          <w:p>
            <w:r>
              <w:rPr>
                <w:b w:val="0"/>
                <w:i w:val="0"/>
                <w:color w:val="000000"/>
                <w:sz w:val="20"/>
              </w:rPr>
              <w:t>Revisar cada tratamiento contra los 8 principios del Art. 3 de la ley</w:t>
            </w:r>
          </w:p>
        </w:tc>
      </w:tr>
      <w:tr>
        <w:tc>
          <w:tcPr>
            <w:tcW w:type="dxa" w:w="567"/>
          </w:tcPr>
          <w:p>
            <w:r>
              <w:rPr>
                <w:b w:val="0"/>
                <w:i w:val="0"/>
                <w:color w:val="000000"/>
                <w:sz w:val="20"/>
              </w:rPr>
              <w:t>3</w:t>
            </w:r>
          </w:p>
        </w:tc>
        <w:tc>
          <w:tcPr>
            <w:tcW w:type="dxa" w:w="2268"/>
          </w:tcPr>
          <w:p>
            <w:r>
              <w:rPr>
                <w:b w:val="0"/>
                <w:i w:val="0"/>
                <w:color w:val="000000"/>
                <w:sz w:val="20"/>
              </w:rPr>
              <w:t>Fallos de seguridad</w:t>
            </w:r>
          </w:p>
        </w:tc>
        <w:tc>
          <w:tcPr>
            <w:tcW w:type="dxa" w:w="3402"/>
          </w:tcPr>
          <w:p>
            <w:r>
              <w:rPr>
                <w:b w:val="0"/>
                <w:i w:val="0"/>
                <w:color w:val="000000"/>
                <w:sz w:val="20"/>
              </w:rPr>
              <w:t>No implementar medidas técnicas y organizativas adecuadas al riesgo</w:t>
            </w:r>
          </w:p>
        </w:tc>
        <w:tc>
          <w:tcPr>
            <w:tcW w:type="dxa" w:w="3402"/>
          </w:tcPr>
          <w:p>
            <w:r>
              <w:rPr>
                <w:b w:val="0"/>
                <w:i w:val="0"/>
                <w:color w:val="000000"/>
                <w:sz w:val="20"/>
              </w:rPr>
              <w:t>Realizar análisis de riesgo y EIPD; implementar cifrado y controles de acceso</w:t>
            </w:r>
          </w:p>
        </w:tc>
      </w:tr>
    </w:tbl>
    <w:p/>
    <w:p>
      <w:pPr>
        <w:spacing w:before="280" w:after="80"/>
      </w:pPr>
      <w:r>
        <w:rPr>
          <w:b/>
          <w:i w:val="0"/>
          <w:color w:val="00467F"/>
          <w:sz w:val="28"/>
        </w:rPr>
        <w:t>IMPLICANCIAS PRÁCTICAS PARA ORGANIZACIONES CHILENAS</w:t>
      </w:r>
    </w:p>
    <w:p>
      <w:r>
        <w:rPr>
          <w:b w:val="0"/>
          <w:i w:val="0"/>
          <w:color w:val="000000"/>
          <w:sz w:val="21"/>
        </w:rPr>
        <w:t>La experiencia europea permite anticipar las áreas de mayor riesgo para las organizaciones chilenas. Las recomendaciones prioritarias son:</w:t>
      </w:r>
    </w:p>
    <w:p>
      <w:pPr>
        <w:spacing w:before="40" w:after="40"/>
        <w:ind w:left="454"/>
      </w:pPr>
      <w:r>
        <w:rPr>
          <w:b w:val="0"/>
          <w:i w:val="0"/>
          <w:color w:val="000000"/>
          <w:sz w:val="21"/>
        </w:rPr>
        <w:t>• Establecer una justificación legal sólida y documentada para cada tratamiento de datos (RAT actualizado con base jurídica explícita).</w:t>
      </w:r>
    </w:p>
    <w:p>
      <w:pPr>
        <w:spacing w:before="40" w:after="40"/>
        <w:ind w:left="454"/>
      </w:pPr>
      <w:r>
        <w:rPr>
          <w:b w:val="0"/>
          <w:i w:val="0"/>
          <w:color w:val="000000"/>
          <w:sz w:val="21"/>
        </w:rPr>
        <w:t>• Revisar el cumplimiento de los 8 principios del Art. 3 de la Ley 21.719 para todos los tratamientos vigentes.</w:t>
      </w:r>
    </w:p>
    <w:p>
      <w:pPr>
        <w:spacing w:before="40" w:after="40"/>
        <w:ind w:left="454"/>
      </w:pPr>
      <w:r>
        <w:rPr>
          <w:b w:val="0"/>
          <w:i w:val="0"/>
          <w:color w:val="000000"/>
          <w:sz w:val="21"/>
        </w:rPr>
        <w:t>• Implementar medidas de seguridad proporcionales al riesgo: cifrado, control de accesos, gestión de incidentes y copias de seguridad.</w:t>
      </w:r>
    </w:p>
    <w:p>
      <w:pPr>
        <w:spacing w:before="40" w:after="40"/>
        <w:ind w:left="454"/>
      </w:pPr>
      <w:r>
        <w:rPr>
          <w:b w:val="0"/>
          <w:i w:val="0"/>
          <w:color w:val="000000"/>
          <w:sz w:val="21"/>
        </w:rPr>
        <w:t>• Nombrar un DPD con autoridad real y recursos suficientes, involucrándolo en todas las decisiones de tratamiento relevantes.</w:t>
      </w:r>
    </w:p>
    <w:p>
      <w:pPr>
        <w:spacing w:before="40" w:after="40"/>
        <w:ind w:left="454"/>
      </w:pPr>
      <w:r>
        <w:rPr>
          <w:b w:val="0"/>
          <w:i w:val="0"/>
          <w:color w:val="000000"/>
          <w:sz w:val="21"/>
        </w:rPr>
        <w:t>• Capacitar al personal en los principios básicos de protección de datos y en los procedimientos de respuesta ante solicitudes de derechos y brechas de seguridad.</w:t>
      </w:r>
    </w:p>
    <w:p>
      <w:pPr>
        <w:spacing w:before="60" w:after="100"/>
        <w:ind w:left="283"/>
      </w:pPr>
      <w:r>
        <w:rPr>
          <w:b w:val="0"/>
          <w:i/>
          <w:color w:val="8C0000"/>
          <w:sz w:val="20"/>
        </w:rPr>
        <w:t>⚠  Adherir a los principios de la Ley 21.719 equivale en gran medida a cumplir con los temas de seguridad. Ambos están interrelacionados: un tratamiento conforme a los principios generalmente incluye medidas de seguridad adecuadas.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