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CUST-DOC-02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LEVANTAMIENTO DE REQUISITOS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Funcionales y No Funcionales · Ley 21.719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494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2489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2493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>
              <w:rPr>
                <w:sz w:val="20"/>
              </w:rPr>
              <w:t>Creación inicial del documento de requisitos, derivado del código fuente v1.0.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Levantamiento de Requisitos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Introducción</w:t>
      </w:r>
    </w:p>
    <w:p>
      <w:r>
        <w:rPr>
          <w:sz w:val="22"/>
        </w:rPr>
        <w:t>Este documento levanta, en formato numerado y trazable, los requisitos funcionales (RF) y no funcionales (RNF) del sistema Custodio RAT Manager, derivados del código fuente y de la documentación existente (README, casos de uso, manual de usuario y manual de pruebas). Cada requisito se ha nombrado con un identificador único que será referenciado por las Historias de Usuario (HU-###), los Casos de Uso (CU-###) y los Casos de Prueba (TC-###) del conjunto documental.</w:t>
      </w:r>
    </w:p>
    <w:p>
      <w:r>
        <w:rPr>
          <w:sz w:val="22"/>
        </w:rPr>
        <w:t>La numeración es estable: los requisitos no se renumeran. Cuando un requisito quede obsoleto, se marcará como '(Deprecado)' en la columna 'Estado' pero conservará su identificador.</w:t>
      </w:r>
    </w:p>
    <w:p>
      <w:pPr>
        <w:pStyle w:val="Heading1"/>
      </w:pPr>
      <w:r>
        <w:t>2. Actores del sistema</w:t>
      </w:r>
    </w:p>
    <w:p>
      <w:r>
        <w:rPr>
          <w:sz w:val="22"/>
        </w:rPr>
        <w:t>El sistema identifica los siguientes actores, que interactuarán con la plataforma en distintos niveles de responsabilidad: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Actor</w:t>
            </w:r>
          </w:p>
        </w:tc>
        <w:tc>
          <w:tcPr>
            <w:tcW w:type="dxa" w:w="63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AC-01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Superadministrador (superadmin)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acceso total al sistema. Gestiona empresas, usuarios, RATs, brechas, rubros, sugerencias. Único con capacidad de cambiar de empresa activa y eliminar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AC-02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Administrador de empresa (admin_empresa)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responsable de una empresa específica. Gestiona usuarios, RATs, brechas, reportes y exportaciones de su propia empresa. No tiene visibilidad de otras empresas.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Usuario (usuario)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Usuario con rol de consulta y operación limitada. Puede crear y editar RATs y consultar reportes de su empresa. No puede eliminar ni gestionar usuarios.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Encargado de Protección de Datos (DPO)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Persona designada por la empresa. Recibirá notificaciones y podrá visualizar el estado de cumplimiento. No es un rol de sistema: se modela como un atributo de la empresa (contacto_dpo, email_dpo).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Titular de datos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Persona natural cuyos datos son tratados por la empresa. Interactúa con el sistema sólo a través del formulario público de derechos ARCO en /solicitud_derecho.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Auditor / Fiscalizador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Funcionario de la Agencia de Protección de Datos Personales (APDC) o auditor interno/contratado. Interactúa indirectamente a través de exportaciones PDF, CSV y formato CNI.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AC-07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Sistema de IA (externo)</w:t>
            </w:r>
          </w:p>
        </w:tc>
        <w:tc>
          <w:tcPr>
            <w:tcW w:type="dxa" w:w="6350"/>
            <w:vAlign w:val="top"/>
          </w:tcPr>
          <w:p>
            <w:r/>
            <w:r>
              <w:rPr>
                <w:sz w:val="20"/>
              </w:rPr>
              <w:t>Servicio externo opcional (compatible con OpenAI API o similar) que provee el chat de asistencia contextual dentro del módulo de Reportes. Activable mediante variable de entorno MINIMAX_API_KEY u OPENAI_API_KEY.</w:t>
            </w:r>
          </w:p>
        </w:tc>
      </w:tr>
    </w:tbl>
    <w:p>
      <w:pPr>
        <w:pStyle w:val="Heading1"/>
      </w:pPr>
      <w:r>
        <w:t>3. Requisitos funcionales (RF)</w:t>
      </w:r>
    </w:p>
    <w:p>
      <w:r>
        <w:rPr>
          <w:sz w:val="22"/>
        </w:rPr>
        <w:t>Los requisitos funcionales describen lo que el sistema debe hacer. Se han organizado por módulo de producto.</w:t>
      </w:r>
    </w:p>
    <w:p>
      <w:pPr>
        <w:pStyle w:val="Heading2"/>
      </w:pPr>
      <w:r>
        <w:t>3.1 Módulo de autenticación y usuarios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inicio de sesión con credenciales (username y contraseña) y emitir un token JWT con expiración de 8 horas.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usuario autenticado cambiar su propia contraseña, validando la contraseña actual y exigiendo un mínimo de 6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administrador cambiar la contraseña de cualquier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cerrar sesión, revocando el token JWT (logout con blacklist) y eliminando la cookie httpOnly.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limitar el endpoint de login a 5 intentos por minuto por IP (rate limiting con slowapi).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persistir un único usuario superadmin inicial cuando la variable SEED_ADMIN=true y SEED_ADMIN_PASSWORD está definida.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creación de usuarios con tres roles globales: superadmin, admin_empresa, usuario.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administrador listar, actualizar y eliminar usuarios.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RF-009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usuario 'usuario' listar su propio perfil mediante GET /auth/me.</w:t>
            </w:r>
          </w:p>
        </w:tc>
      </w:tr>
    </w:tbl>
    <w:p>
      <w:pPr>
        <w:pStyle w:val="Heading2"/>
      </w:pPr>
      <w:r>
        <w:t>3.2 Módulo de empresas y multi-tenancy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superadmin crear empresas con razón social, RUT (validado con dígito verificador chileno), rubro, dirección, DPO y email del DPO.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editar y eliminar empresas (solo superadmin para eliminar).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asignar usuarios a empresas a través de la tabla user_companies con rol por empresa (ADMIN, EDITOR, VIEWER).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impedir a un admin_empresa o usuario ver, editar o eliminar datos de empresas a las que no pertenece (aislamiento multi-tenant).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seleccionar la empresa activa desde la barra superior (Topbar) o el sidebar.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RF-015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redirigir al usuario a /onboarding cuando el sistema no tiene ninguna empresa registrada.</w:t>
            </w:r>
          </w:p>
        </w:tc>
      </w:tr>
    </w:tbl>
    <w:p>
      <w:pPr>
        <w:pStyle w:val="Heading2"/>
      </w:pPr>
      <w:r>
        <w:t>3.3 Módulo de Registro de Actividades de Tratamiento (RAT)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registro de un RAT con los 7 campos mínimos obligatorios del Art. 16 de la Ley 21.719: nombre_proceso, categoria_datos, categoria_titulares, finalidad, base_legal, fuente_datos, plazo_retencion.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capturar los 3 campos recomendados adicionales: medidas_seguridad, destinatarios, transferencia_datos.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marcar el RAT como 'datos_sensibles' y, en tal caso, seleccionar el tipo de dato sensible de una lista.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indicar si el RAT requiere EIPD (Evaluación de Impacto en Protección de Datos) y registrar su estado (no_requerida, pendiente, en_proceso, completada).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capturar la base legal del tratamiento de entre 6 opciones (consentimiento, ejecución de contrato, obligación legal, interés legítimo, interés vital, datos biométricos Art. 16 BIS).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exigir y capturar el test de 3 pasos de interés legítimo (test_interes_legitimo) cuando la base legal es 'interés legítimo'.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RF-026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adjuntar un documento de respaldo a la base legal, almacenando el archivo binario, su nombre original, tipo MIME y hash SHA-256.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RF-027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la completitud de un RAT como: (7 obligatorios + 3 recomendados - penalizaciones) / 10 × 100.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RF-028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el nivel de riesgo del RAT (bajo, medio, alto, crítico) sumando 1-2 puntos por cada factor de riesgo presente.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RF-029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transición de estado del RAT entre: borrador, completo, en_revision, aprobado.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duplicar un RAT existente, prefijando el nombre con 'Copia de'.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eliminación de un RAT con confirmación explícita.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registrar auditoría de todas las operaciones CRUD de RAT (creación, edición, eliminación, revisión periódica, aprobación) en la tabla audit_log.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registrar una revisión periódica del RAT mediante POST /rats/{id}/revision, generando un evento de auditoría.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aprobar un RAT (POST /rats/{id}/aprobar), registrando el aprobador y la fecha de aprobación.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RF-035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descargar el documento de base legal adjunto al RAT (GET /rats/{id}/archivo).</w:t>
            </w:r>
          </w:p>
        </w:tc>
      </w:tr>
    </w:tbl>
    <w:p>
      <w:pPr>
        <w:pStyle w:val="Heading2"/>
      </w:pPr>
      <w:r>
        <w:t>3.4 Módulo de sugerencias de RAT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listar los tipos de proceso disponibles para sugerencias automáticas (GET /rats/sugerencias/tipos).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obtener una sugerencia precompletada de RAT dado un tipo de proceso (POST /rats/sugerencias).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RF-042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administrar rubros y RATs sugeridos por rubro. Los rubros tienen nombre y orden configurable.</w:t>
            </w:r>
          </w:p>
        </w:tc>
      </w:tr>
    </w:tbl>
    <w:p>
      <w:pPr>
        <w:pStyle w:val="Heading2"/>
      </w:pPr>
      <w:r>
        <w:t>3.5 Módulo de brechas de seguridad (Art. 14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el registro de una brecha con descripción, fecha de detección, RATs afectados, datos comprometidos, medidas adoptadas y estado de notificación (APDC y titulares).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calcular automáticamente las horas transcurridas desde la detección y alertar cuando se acerque o haya vencido el plazo de 72 horas para notificar a la APDC.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editar y eliminar brechas de seguridad.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RF-053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filtrar y listar las brechas por empresa.</w:t>
            </w:r>
          </w:p>
        </w:tc>
      </w:tr>
    </w:tbl>
    <w:p>
      <w:pPr>
        <w:pStyle w:val="Heading2"/>
      </w:pPr>
      <w:r>
        <w:t>3.6 Módulo de derechos ARCO (Art. 14 y 16 bis)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exponer un formulario público (/solicitud_derecho) para que cualquier titular pueda ejercer sus derechos de Acceso, Rectificación, Cancelación u Oposición.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exigir un token temporal (5 min) generado por el backend para mitigar ataques automatizados contra el formulario.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titular identificarse con nombre, RUT opcional, email obligatorio y descripción de hasta 2.000 caracteres.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crear automáticamente un ticket de gestión (TktSolicitudDerecho) al recibir una solicitud, vinculado a la solicitud original.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al equipo de la empresa responder la solicitud ARCO, cambiando su estado (pendiente, en_proceso, resuelta, rechazada) y registrando el historial de cambios.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RF-065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adjuntar notas y archivos al ticket de gestión.</w:t>
            </w:r>
          </w:p>
        </w:tc>
      </w:tr>
    </w:tbl>
    <w:p>
      <w:pPr>
        <w:pStyle w:val="Heading2"/>
      </w:pPr>
      <w:r>
        <w:t>3.7 Módulo de reportes y exportaciones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 los RATs de una empresa en formato CSV (GET /rats/export/csv).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 los RATs de una empresa en formato PDF (GET /rats/export/pdf), generado con ReportLab.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 un RAT individual en PDF (GET /rats/{id}/export/pdf).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RF-073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la exportación del RAT completo en formato CNI (compatible con la APDC, GET /rats/export/cni).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RF-074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aplicar filtros y ordenamiento en la consulta de reportes: estado, base legal, categoría de titulares, sensibles, EIPD, transferencia internacional, creador; con paginación y orden por múltiples campos.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RF-075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entregar estadísticas agregadas (KPIs) por empresa: total de RATs, completitud promedio, RATs con datos sensibles, RATs que requieren EIPD, transferencias internacionales, decisiones automatizadas (GET /rats/dashboard/{company_id}).</w:t>
            </w:r>
          </w:p>
        </w:tc>
      </w:tr>
    </w:tbl>
    <w:p>
      <w:pPr>
        <w:pStyle w:val="Heading2"/>
      </w:pPr>
      <w:r>
        <w:t>3.8 Módulo de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registrar toda operación CRUD de RAT en la tabla audit_log, capturando timestamp, usuario, IP, acción, entidad y detalle.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consultar el historial de auditoría de un RAT (GET /rats/{id}/auditoria).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RF-082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consultar la auditoría global de una empresa (GET /rats/auditoria/{company_id}).</w:t>
            </w:r>
          </w:p>
        </w:tc>
      </w:tr>
    </w:tbl>
    <w:p>
      <w:pPr>
        <w:pStyle w:val="Heading2"/>
      </w:pPr>
      <w:r>
        <w:t>3.9 Módulo de Inteligencia Artificial (chat contextual)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90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  <w:tc>
          <w:tcPr>
            <w:tcW w:type="dxa" w:w="6973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RF-090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permitir a un usuario autenticado enviar una pregunta al chat de IA contextual sobre la Ley 21.719 y los datos de la empresa (POST /ai/ask).</w:t>
            </w:r>
          </w:p>
        </w:tc>
      </w:tr>
      <w:tr>
        <w:tc>
          <w:tcPr>
            <w:tcW w:type="dxa" w:w="907"/>
            <w:vAlign w:val="top"/>
          </w:tcPr>
          <w:p>
            <w:r/>
            <w:r>
              <w:rPr>
                <w:b/>
                <w:sz w:val="20"/>
              </w:rPr>
              <w:t>RF-091</w:t>
            </w:r>
          </w:p>
        </w:tc>
        <w:tc>
          <w:tcPr>
            <w:tcW w:type="dxa" w:w="907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Implementado (opcional)</w:t>
            </w:r>
          </w:p>
        </w:tc>
        <w:tc>
          <w:tcPr>
            <w:tcW w:type="dxa" w:w="6973"/>
            <w:vAlign w:val="top"/>
          </w:tcPr>
          <w:p>
            <w:r/>
            <w:r>
              <w:rPr>
                <w:sz w:val="20"/>
              </w:rPr>
              <w:t>El sistema debe integrar un proveedor de IA configurable: prioridad MINIMAX_API_KEY, fallback OPENAI_API_KEY. Si ninguna está definida, el endpoint retorna un mensaje informativo.</w:t>
            </w:r>
          </w:p>
        </w:tc>
      </w:tr>
    </w:tbl>
    <w:p>
      <w:pPr>
        <w:pStyle w:val="Heading1"/>
      </w:pPr>
      <w:r>
        <w:t>4. Requisitos no funcionales (RNF)</w:t>
      </w:r>
    </w:p>
    <w:p>
      <w:r>
        <w:rPr>
          <w:sz w:val="22"/>
        </w:rPr>
        <w:t>Los requisitos no funcionales describen restricciones de calidad, seguridad, rendimiento, usabilidad, mantenibilidad y cumplimiento.</w:t>
      </w:r>
    </w:p>
    <w:p>
      <w:pPr>
        <w:pStyle w:val="Heading2"/>
      </w:pPr>
      <w:r>
        <w:t>4.1 Seguridad y autenticación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Las contraseñas deben almacenarse hasheadas con bcrypt (passlib + bcrypt) y nunca en texto plano.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autenticación debe basarse en tokens JWT firmados (algoritmo HS256) con expiración máxima de 8 horas.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Las cookies de sesión deben ser httpOnly y Secure en producción (SameSite=None en producción, Lax en desarrollo).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RNF-004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implementar revocación de tokens (blacklist) para soportar logout efectivo.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RNF-005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aplicar rate limiting a endpoints sensibles (login: 5/min, cambio de contraseña: 5/min, token ARCO: 5/min, creación de solicitud ARCO: 3/hora, logout: 10/min).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RNF-006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implementar CORS estricto: en producción, la regex es 'https://.*\.vercel\.app' (sólo orígenes Vercel).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RNF-007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exigir la variable SECRET_KEY en producción y advertir si se usa el valor por defecto en desarrollo.</w:t>
            </w:r>
          </w:p>
        </w:tc>
      </w:tr>
    </w:tbl>
    <w:p>
      <w:pPr>
        <w:pStyle w:val="Heading2"/>
      </w:pPr>
      <w:r>
        <w:t>4.2 Rendimiento y disponibilidad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responder al endpoint de health-check /health/db en menos de 500 ms cuando la base de datos está disponible.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listar hasta 200 RATs por defecto y 50 por página en reportes, evitando cargar más registros de los necesarios en una sola vista.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estar disponible 99.5% del tiempo en producción, según SLA de Vercel para funciones serverless (excluyendo mantenimiento programado).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RNF-013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generar el PDF de un RAT individual en menos de 3 segundos con archivos adjuntos de hasta 5 MB.</w:t>
            </w:r>
          </w:p>
        </w:tc>
      </w:tr>
    </w:tbl>
    <w:p>
      <w:pPr>
        <w:pStyle w:val="Heading2"/>
      </w:pPr>
      <w:r>
        <w:t>4.3 Cumplimiento normativo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implementar los campos mínimos obligatorios exigidos por el Art. 16 de la Ley 21.719 para el RAT.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calcular y mostrar alertas de cumplimiento relativas a: consentimiento inválido para biometría (Art. 16 BIS), EIPD obligatoria para datos sensibles, plazos de notificación de brechas (Art. 14 bis, 72h) y transferencias internacionales (Art. 28).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permitir la exportación del RAT en formato compatible con la APDC (formato CNI).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RNF-023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permitir el ejercicio de los derechos ARCO por parte de los titulares (Art. 14 y 16 bis).</w:t>
            </w:r>
          </w:p>
        </w:tc>
      </w:tr>
    </w:tbl>
    <w:p>
      <w:pPr>
        <w:pStyle w:val="Heading2"/>
      </w:pPr>
      <w:r>
        <w:t>4.4 Usabilidad y accesibilidad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interfaz debe ser responsive: el sidebar debe colapsar a un menú hamburguesa en pantallas menores a 768 px.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La interfaz debe ser navegable íntegramente con teclado en los flujos principales: login, wizard RAT, formulario ARCO, dashboard.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proporcionar retroalimentación visual inmediata mediante toasts (Sonner) en operaciones exitosas y erróneas.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RNF-033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proporcionar un wizard de 4 pasos con barra de progreso para la creación y edición de RATs.</w:t>
            </w:r>
          </w:p>
        </w:tc>
      </w:tr>
    </w:tbl>
    <w:p>
      <w:pPr>
        <w:pStyle w:val="Heading2"/>
      </w:pPr>
      <w:r>
        <w:t>4.5 Mantenibilidad y calidad de código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backend debe mantener una cobertura de tests mínima del 80% en endpoints críticos (auth, companies, rats, brechas, export).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código del backend debe seguir el patrón: rutas (routes/) → servicios (services/) → modelos (models/), con schemas Pydantic separados.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RNF-042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frontend debe mantener tipado estricto TypeScript (strict mode habilitado).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RNF-043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Alta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poder migrar la base de datos de SQLite (local) a PostgreSQL (Neon) sin pérdida de datos, mediante el script migrate_to_neon.py.</w:t>
            </w:r>
          </w:p>
        </w:tc>
      </w:tr>
    </w:tbl>
    <w:p>
      <w:pPr>
        <w:pStyle w:val="Heading2"/>
      </w:pPr>
      <w:r>
        <w:t>4.6 Internacionalización y formatos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Prioridad</w:t>
            </w:r>
          </w:p>
        </w:tc>
        <w:tc>
          <w:tcPr>
            <w:tcW w:type="dxa" w:w="788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RNF-050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validar RUT chileno con dígito verificador (módulo 11) y formatearlo con puntos y guión.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RNF-051</w:t>
            </w:r>
          </w:p>
        </w:tc>
        <w:tc>
          <w:tcPr>
            <w:tcW w:type="dxa" w:w="1020"/>
            <w:vAlign w:val="top"/>
          </w:tcPr>
          <w:p>
            <w:r/>
            <w:r>
              <w:rPr>
                <w:sz w:val="20"/>
              </w:rPr>
              <w:t>Baja</w:t>
            </w:r>
          </w:p>
        </w:tc>
        <w:tc>
          <w:tcPr>
            <w:tcW w:type="dxa" w:w="7880"/>
            <w:vAlign w:val="top"/>
          </w:tcPr>
          <w:p>
            <w:r/>
            <w:r>
              <w:rPr>
                <w:sz w:val="20"/>
              </w:rPr>
              <w:t>El sistema debe almacenar fechas en UTC y mostrarlas en la zona horaria del usuario (por defecto America/Santiago).</w:t>
            </w:r>
          </w:p>
        </w:tc>
      </w:tr>
    </w:tbl>
    <w:p>
      <w:pPr>
        <w:pStyle w:val="Heading1"/>
      </w:pPr>
      <w:r>
        <w:t>5. Restricciones y supuestos</w:t>
      </w:r>
    </w:p>
    <w:p>
      <w:r>
        <w:rPr>
          <w:sz w:val="22"/>
        </w:rPr>
        <w:t>El sistema opera bajo las siguientes restricciones y supuestos: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Restricción de plataforma: </w:t>
      </w:r>
      <w:r>
        <w:rPr>
          <w:sz w:val="22"/>
        </w:rPr>
        <w:t>La aplicación se despliega como funciones serverless en Vercel; por tanto, el tiempo máximo de ejecución por request es de 60 s (hobby) o 300 s (pro).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Almacenamiento: </w:t>
      </w:r>
      <w:r>
        <w:rPr>
          <w:sz w:val="22"/>
        </w:rPr>
        <w:t>El almacenamiento de archivos binarios (documentos de base legal) se realiza en la propia base de datos (BYTEA en PostgreSQL / BLOB en SQLite), con un límite práctico de 5 MB por archivo.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Archivos grandes: </w:t>
      </w:r>
      <w:r>
        <w:rPr>
          <w:sz w:val="22"/>
        </w:rPr>
        <w:t>La carga de archivos pesados (videos, datasets) no está soportada en el MVP; se recomienda migrar a un servicio de objetos (S3) en V2.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Disponibilidad: </w:t>
      </w:r>
      <w:r>
        <w:rPr>
          <w:sz w:val="22"/>
        </w:rPr>
        <w:t>El sistema depende de Neon PostgreSQL en producción; la indisponibilidad de la base de datos impide todas las operaciones excepto la página de login.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Marco legal: </w:t>
      </w:r>
      <w:r>
        <w:rPr>
          <w:sz w:val="22"/>
        </w:rPr>
        <w:t>Se asume que la fecha de entrada en vigencia general de la Ley 21.719 es el 1 de diciembre de 2026 (período de adaptación).</w:t>
      </w:r>
    </w:p>
    <w:p>
      <w:pPr>
        <w:pStyle w:val="Heading1"/>
      </w:pPr>
      <w:r>
        <w:t>6. Trazabilidad</w:t>
      </w:r>
    </w:p>
    <w:p>
      <w:r>
        <w:rPr>
          <w:sz w:val="22"/>
        </w:rPr>
        <w:t>La trazabilidad detallada entre requisitos, historias de usuario, casos de uso y casos de prueba se publica en el documento CUST-DOC-MTX (Matriz de Trazabilidad). El siguiente es un resumen de cobertura: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HU: </w:t>
      </w:r>
      <w:r>
        <w:rPr>
          <w:sz w:val="22"/>
        </w:rPr>
        <w:t>El 100% de los requisitos RF-### están enlazados a al menos una historia de usuario (HU-###) en el documento CUST-DOC-03.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CU: </w:t>
      </w:r>
      <w:r>
        <w:rPr>
          <w:sz w:val="22"/>
        </w:rPr>
        <w:t>El 100% de los requisitos RF-### están enlazados a al menos un caso de uso (CU-###) en el documento CUST-DOC-04.</w:t>
      </w:r>
    </w:p>
    <w:p>
      <w:pPr>
        <w:pStyle w:val="ListBullet"/>
        <w:spacing w:after="40"/>
        <w:ind w:left="340"/>
      </w:pPr>
      <w:r>
        <w:rPr>
          <w:b/>
          <w:sz w:val="22"/>
        </w:rPr>
        <w:t xml:space="preserve">Cobertura RF → TC: </w:t>
      </w:r>
      <w:r>
        <w:rPr>
          <w:sz w:val="22"/>
        </w:rPr>
        <w:t>El 100% de los requisitos RF-### y RNF-### cuentan con al menos un caso de prueba (TC-###) en el documento CUST-DOC-10.</w:t>
      </w:r>
    </w:p>
    <w:p>
      <w:pPr>
        <w:pStyle w:val="Heading1"/>
      </w:pPr>
      <w:r>
        <w:t>Apéndice A — Vacíos de información</w:t>
      </w:r>
    </w:p>
    <w:p>
      <w:r>
        <w:rPr>
          <w:i/>
          <w:sz w:val="22"/>
        </w:rPr>
        <w:t>Las siguientes preguntas quedan abiertas al equipo de producto o al Product Owner para ser resueltas en próximas iteraciones:</w:t>
      </w:r>
    </w:p>
    <w:p>
      <w:pPr>
        <w:pStyle w:val="ListBullet"/>
        <w:spacing w:after="40"/>
        <w:ind w:left="340"/>
      </w:pPr>
      <w:r>
        <w:rPr>
          <w:sz w:val="22"/>
        </w:rPr>
        <w:t>¿Existen requisitos no documentados en el código que provengan de tickets internos o feedback de clientes?</w:t>
      </w:r>
    </w:p>
    <w:p>
      <w:pPr>
        <w:pStyle w:val="ListBullet"/>
        <w:spacing w:after="40"/>
        <w:ind w:left="340"/>
      </w:pPr>
      <w:r>
        <w:rPr>
          <w:sz w:val="22"/>
        </w:rPr>
        <w:t>¿Cuál es la política de retención de los datos personales de los titulares una vez finalizado el tratamiento?</w:t>
      </w:r>
    </w:p>
    <w:p>
      <w:pPr>
        <w:pStyle w:val="ListBullet"/>
        <w:spacing w:after="40"/>
        <w:ind w:left="340"/>
      </w:pPr>
      <w:r>
        <w:rPr>
          <w:sz w:val="22"/>
        </w:rPr>
        <w:t>¿El sistema debe integrarse con la APDC vía API en el futuro (V2)?</w:t>
      </w:r>
    </w:p>
    <w:p>
      <w:pPr>
        <w:pStyle w:val="ListBullet"/>
        <w:spacing w:after="40"/>
        <w:ind w:left="340"/>
      </w:pPr>
      <w:r>
        <w:rPr>
          <w:sz w:val="22"/>
        </w:rPr>
        <w:t>¿Se requiere multi-idioma (inglés) en el formulario público de derechos ARCO?</w:t>
      </w:r>
    </w:p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obsolescencia de la numeración: si se reordena o fusiona un requisito, los IDs históricos pueden quedar desligados de la trazabilidad.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Bajo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inconsistencia entre 'is_admin' (legacy) y 'rol_global' (canónico). El sistema conserva ambos por compatibilidad, lo que podría generar confusión en mantenimientos futuros.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R-RF-03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Riesgo de fuga de información por la regex CORS amplia 'https://.*\.vercel\.app': cualquier subdominio de Vercel es aceptado, lo que incluye deployments de fork o de terceros.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p>
      <w:pPr>
        <w:pStyle w:val="Heading1"/>
      </w:pPr>
      <w:r>
        <w:t>Apéndice C — Índice de identificadores</w:t>
      </w:r>
    </w:p>
    <w:p>
      <w:r>
        <w:rPr>
          <w:i/>
          <w:sz w:val="22"/>
        </w:rPr>
        <w:t>Identificadores únicos referenciados a lo largo del documento: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Nombre</w:t>
            </w:r>
          </w:p>
        </w:tc>
        <w:tc>
          <w:tcPr>
            <w:tcW w:type="dxa" w:w="5669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Capacidad observable del sistema que satisface una necesidad del usuario.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RNF-###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Requisito No Funcional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Restricción de calidad, seguridad, rendimiento, compliance, etc.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AC-###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Actor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Persona, sistema o servicio que interactúa con el sistema.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HU-###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Historia de Usuario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Necesidad del usuario en formato 'Como/Quiero/Para'.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CU-###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Uso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Interacción actor-sistema con flujos principal y alternativo.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b/>
                <w:sz w:val="20"/>
              </w:rPr>
              <w:t>TC-###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Caso de Prueba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sz w:val="20"/>
              </w:rPr>
              <w:t>Verificación de un requisito con datos de entrada y resultado esperado.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Levantamiento de Requisitos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Levantamiento de Requisitos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