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0D4F3C"/>
          <w:left w:val="single" w:sz="16" w:space="4" w:color="0D4F3C"/>
          <w:bottom w:val="single" w:sz="16" w:space="4" w:color="0D4F3C"/>
          <w:right w:val="single" w:sz="16" w:space="4" w:color="0D4F3C"/>
        </w:pBdr>
        <w:shd w:val="clear" w:color="auto" w:fill="0D4F3C"/>
      </w:pPr>
      <w:r>
        <w:rPr>
          <w:b/>
          <w:color w:val="FFFFFF"/>
          <w:sz w:val="24"/>
        </w:rPr>
        <w:t xml:space="preserve">  ▣  ASESOR CUSTODIO  ·  MÓDULO RAG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ASES-DOC-04</w:t>
      </w:r>
    </w:p>
    <w:p/>
    <w:p/>
    <w:p>
      <w:pPr>
        <w:spacing w:after="240"/>
        <w:jc w:val="center"/>
      </w:pPr>
      <w:r>
        <w:rPr>
          <w:b/>
          <w:color w:val="0D4F3C"/>
          <w:sz w:val="56"/>
        </w:rPr>
        <w:t>ARQUITECTURA Y MODELO DE DATOS</w:t>
      </w:r>
    </w:p>
    <w:p>
      <w:pPr>
        <w:spacing w:after="480"/>
        <w:jc w:val="center"/>
      </w:pPr>
      <w:r>
        <w:rPr>
          <w:i/>
          <w:color w:val="C8A951"/>
          <w:sz w:val="28"/>
        </w:rPr>
        <w:t>C4 · Secuencia RAG · Decisiones · ER del Asesor</w:t>
      </w:r>
    </w:p>
    <w:p/>
    <w:p/>
    <w:p>
      <w:pPr>
        <w:jc w:val="center"/>
        <w:pBdr>
          <w:bottom w:val="single" w:sz="12" w:space="1" w:color="C8A951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0D4F3C"/>
          <w:sz w:val="22"/>
        </w:rPr>
        <w:t xml:space="preserve">Versión:  </w:t>
      </w:r>
      <w:r>
        <w:rPr>
          <w:color w:val="404040"/>
          <w:sz w:val="22"/>
        </w:rPr>
        <w:t>v1.0</w:t>
      </w:r>
    </w:p>
    <w:p>
      <w:pPr>
        <w:spacing w:after="40"/>
        <w:jc w:val="center"/>
      </w:pPr>
      <w:r>
        <w:rPr>
          <w:b/>
          <w:color w:val="0D4F3C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0D4F3C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0D4F3C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0D4F3C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0D4F3C"/>
          <w:sz w:val="22"/>
        </w:rPr>
        <w:t xml:space="preserve">Producto:  </w:t>
      </w:r>
      <w:r>
        <w:rPr>
          <w:color w:val="404040"/>
          <w:sz w:val="22"/>
        </w:rPr>
        <w:t>Custodio Asesor (RAG)</w:t>
      </w:r>
    </w:p>
    <w:p>
      <w:pPr>
        <w:spacing w:after="40"/>
        <w:jc w:val="center"/>
      </w:pPr>
      <w:r>
        <w:rPr>
          <w:b/>
          <w:color w:val="0D4F3C"/>
          <w:sz w:val="22"/>
        </w:rPr>
        <w:t xml:space="preserve">Producto padre: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0D4F3C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0D4F3C"/>
          <w:left w:val="single" w:sz="16" w:space="4" w:color="0D4F3C"/>
          <w:bottom w:val="single" w:sz="16" w:space="4" w:color="0D4F3C"/>
          <w:right w:val="single" w:sz="16" w:space="4" w:color="0D4F3C"/>
        </w:pBdr>
        <w:shd w:val="clear" w:color="auto" w:fill="0D4F3C"/>
      </w:pPr>
      <w:r>
        <w:rPr>
          <w:b/>
          <w:color w:val="FFFFFF"/>
          <w:sz w:val="20"/>
        </w:rPr>
        <w:t xml:space="preserve">  TU ASESOR EXPERTO EN PROTECCIÓN DE DATOS — LEY 21.719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0D4F3C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0D4F3C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0D4F3C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0D4F3C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Creación inicial del documento a partir de la auditoría previa AUDITORIA_ASES_V1.0.md.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0D4F3C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0D4F3C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Arquitectura y Modelo de Datos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Asesor (RAG)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Resumen arquitectónico</w:t>
      </w:r>
    </w:p>
    <w:p>
      <w:r>
        <w:rPr>
          <w:sz w:val="22"/>
        </w:rPr>
        <w:t>El módulo Custodio Asesor se integra a la arquitectura existente de Custodio RAT Manager como un nuevo subdominio de servicios. Comparte la base de datos PostgreSQL (Neon) pero añade una tabla nueva asesor_chunks con soporte vectorial (pgvector) y un conjunto de servicios Python dedicados a RAG.</w:t>
      </w:r>
    </w:p>
    <w:p>
      <w:pPr>
        <w:pStyle w:val="Heading1"/>
      </w:pPr>
      <w:r>
        <w:t>2. Diagrama de contexto (C4 Nivel 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30952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asesor_context_157849415371081316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0952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b/>
          <w:i/>
          <w:color w:val="0D4F3C"/>
          <w:sz w:val="18"/>
        </w:rPr>
        <w:t xml:space="preserve">Figura 1 — </w:t>
      </w:r>
      <w:r>
        <w:rPr>
          <w:i/>
          <w:color w:val="404040"/>
          <w:sz w:val="18"/>
        </w:rPr>
        <w:t>Diagrama de contexto C4 Nivel 1: Asesor y sus interacciones.</w:t>
      </w:r>
    </w:p>
    <w:p>
      <w:pPr>
        <w:pStyle w:val="Heading1"/>
      </w:pPr>
      <w:r>
        <w:t>3. Diagrama de contenedores (C4 Nivel 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9110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asesor_container_905723049851964962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911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b/>
          <w:i/>
          <w:color w:val="0D4F3C"/>
          <w:sz w:val="18"/>
        </w:rPr>
        <w:t xml:space="preserve">Figura 2 — </w:t>
      </w:r>
      <w:r>
        <w:rPr>
          <w:i/>
          <w:color w:val="404040"/>
          <w:sz w:val="18"/>
        </w:rPr>
        <w:t>Diagrama C4 Nivel 2: contenedores del Asesor.</w:t>
      </w:r>
    </w:p>
    <w:p>
      <w:pPr>
        <w:pStyle w:val="Heading1"/>
      </w:pPr>
      <w:r>
        <w:t>4. Secuencia Retrieve-Augment-Generate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0343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asesor_rag_-95956561355312013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34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b/>
          <w:i/>
          <w:color w:val="0D4F3C"/>
          <w:sz w:val="18"/>
        </w:rPr>
        <w:t xml:space="preserve">Figura 3 — </w:t>
      </w:r>
      <w:r>
        <w:rPr>
          <w:i/>
          <w:color w:val="404040"/>
          <w:sz w:val="18"/>
        </w:rPr>
        <w:t>Secuencia retrieve-augment-generate del Asesor.</w:t>
      </w:r>
    </w:p>
    <w:p>
      <w:pPr>
        <w:pStyle w:val="Heading1"/>
      </w:pPr>
      <w:r>
        <w:t>5. Decisiones arquitectónicas (AD)</w:t>
      </w:r>
    </w:p>
    <w:p>
      <w:pPr>
        <w:spacing w:before="80" w:after="40"/>
      </w:pPr>
      <w:r>
        <w:rPr>
          <w:b/>
          <w:i/>
          <w:color w:val="0D4F3C"/>
          <w:sz w:val="18"/>
        </w:rPr>
        <w:t xml:space="preserve">Tabla 1 — </w:t>
      </w:r>
      <w:r>
        <w:rPr>
          <w:i/>
          <w:color w:val="404040"/>
          <w:sz w:val="18"/>
        </w:rPr>
        <w:t>Decisiones arquitectónicas del Asesor v1.0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ID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Decisión</w:t>
            </w:r>
          </w:p>
        </w:tc>
        <w:tc>
          <w:tcPr>
            <w:tcW w:type="dxa" w:w="5720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Justificación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AD-ASES-12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Vector store: pgvector en Neon</w:t>
            </w:r>
          </w:p>
        </w:tc>
        <w:tc>
          <w:tcPr>
            <w:tcW w:type="dxa" w:w="5720"/>
            <w:vAlign w:val="top"/>
          </w:tcPr>
          <w:p>
            <w:r/>
            <w:r>
              <w:rPr>
                <w:sz w:val="20"/>
              </w:rPr>
              <w:t>Reutilizar la BD existente con la extensión pgvector. Sin servicio externo.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AD-ASES-13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Embeddings: MiniMax con fallback OpenAI</w:t>
            </w:r>
          </w:p>
        </w:tc>
        <w:tc>
          <w:tcPr>
            <w:tcW w:type="dxa" w:w="5720"/>
            <w:vAlign w:val="top"/>
          </w:tcPr>
          <w:p>
            <w:r/>
            <w:r>
              <w:rPr>
                <w:sz w:val="20"/>
              </w:rPr>
              <w:t>Reusar MINIMAX_API_KEY. Si el endpoint de embeddings no existe, fallback automático a OpenAI.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AD-ASES-14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Dimensión embedding: 1536</w:t>
            </w:r>
          </w:p>
        </w:tc>
        <w:tc>
          <w:tcPr>
            <w:tcW w:type="dxa" w:w="5720"/>
            <w:vAlign w:val="top"/>
          </w:tcPr>
          <w:p>
            <w:r/>
            <w:r>
              <w:rPr>
                <w:sz w:val="20"/>
              </w:rPr>
              <w:t>Compatible con text-embedding-3-small de OpenAI. IVFFlat lists=100 como punto de partida.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AD-ASES-15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Chunking: 800 tokens con overlap 100</w:t>
            </w:r>
          </w:p>
        </w:tc>
        <w:tc>
          <w:tcPr>
            <w:tcW w:type="dxa" w:w="5720"/>
            <w:vAlign w:val="top"/>
          </w:tcPr>
          <w:p>
            <w:r/>
            <w:r>
              <w:rPr>
                <w:sz w:val="20"/>
              </w:rPr>
              <w:t>Balance entre granularidad y contexto. Separadores jerárquicos (##, ###, párrafos).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AD-ASES-16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Top-k=5, min_similarity=0.7</w:t>
            </w:r>
          </w:p>
        </w:tc>
        <w:tc>
          <w:tcPr>
            <w:tcW w:type="dxa" w:w="5720"/>
            <w:vAlign w:val="top"/>
          </w:tcPr>
          <w:p>
            <w:r/>
            <w:r>
              <w:rPr>
                <w:sz w:val="20"/>
              </w:rPr>
              <w:t>Cosine similarity. Threshold conservador para evitar alucinaciones; ajustable por env.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AD-ASES-17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Acceso: solo autenticados</w:t>
            </w:r>
          </w:p>
        </w:tc>
        <w:tc>
          <w:tcPr>
            <w:tcW w:type="dxa" w:w="5720"/>
            <w:vAlign w:val="top"/>
          </w:tcPr>
          <w:p>
            <w:r/>
            <w:r>
              <w:rPr>
                <w:sz w:val="20"/>
              </w:rPr>
              <w:t>Reusar get_current_user. Sin acceso público (compliance).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AD-ASES-18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Documentación separada</w:t>
            </w:r>
          </w:p>
        </w:tc>
        <w:tc>
          <w:tcPr>
            <w:tcW w:type="dxa" w:w="5720"/>
            <w:vAlign w:val="top"/>
          </w:tcPr>
          <w:p>
            <w:r/>
            <w:r>
              <w:rPr>
                <w:sz w:val="20"/>
              </w:rPr>
              <w:t>Carpeta docs/documentacion_oficial_asesorgpt/ con theme propio (verde-dorado).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AD-ASES-19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Consolidación documental: 8 docs + matriz</w:t>
            </w:r>
          </w:p>
        </w:tc>
        <w:tc>
          <w:tcPr>
            <w:tcW w:type="dxa" w:w="5720"/>
            <w:vAlign w:val="top"/>
          </w:tcPr>
          <w:p>
            <w:r/>
            <w:r>
              <w:rPr>
                <w:sz w:val="20"/>
              </w:rPr>
              <w:t>Plan C: fusión por afinidad temática. Spec maestro ASES-DOC-08 absorbe profundidad.</w:t>
            </w:r>
          </w:p>
        </w:tc>
      </w:tr>
    </w:tbl>
    <w:p>
      <w:pPr>
        <w:pStyle w:val="Heading1"/>
      </w:pPr>
      <w:r>
        <w:t>6. Modelo de datos</w:t>
      </w:r>
    </w:p>
    <w:p>
      <w:pPr>
        <w:pStyle w:val="Heading2"/>
      </w:pPr>
      <w:r>
        <w:t>6.1 Diagrama 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38950" cy="45719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asesor_184268472167468983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38950" cy="457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b/>
          <w:i/>
          <w:color w:val="0D4F3C"/>
          <w:sz w:val="18"/>
        </w:rPr>
        <w:t xml:space="preserve">Figura 4 — </w:t>
      </w:r>
      <w:r>
        <w:rPr>
          <w:i/>
          <w:color w:val="404040"/>
          <w:sz w:val="18"/>
        </w:rPr>
        <w:t>Diagrama ER del módulo Asesor.</w:t>
      </w:r>
    </w:p>
    <w:p>
      <w:pPr>
        <w:pStyle w:val="Heading2"/>
      </w:pPr>
      <w:r>
        <w:t>6.2 Tabla asesor_chunks</w:t>
      </w:r>
    </w:p>
    <w:p>
      <w:pPr>
        <w:spacing w:before="80" w:after="40"/>
      </w:pPr>
      <w:r>
        <w:rPr>
          <w:b/>
          <w:i/>
          <w:color w:val="0D4F3C"/>
          <w:sz w:val="18"/>
        </w:rPr>
        <w:t xml:space="preserve">Tabla 2 — </w:t>
      </w:r>
      <w:r>
        <w:rPr>
          <w:i/>
          <w:color w:val="404040"/>
          <w:sz w:val="18"/>
        </w:rPr>
        <w:t>Esquema de la tabla asesor_chunks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Columna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Tipo</w:t>
            </w:r>
          </w:p>
        </w:tc>
        <w:tc>
          <w:tcPr>
            <w:tcW w:type="dxa" w:w="5437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Descripción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id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SERIAL PRIMARY KEY</w:t>
            </w:r>
          </w:p>
        </w:tc>
        <w:tc>
          <w:tcPr>
            <w:tcW w:type="dxa" w:w="5437"/>
            <w:vAlign w:val="top"/>
          </w:tcPr>
          <w:p>
            <w:r/>
            <w:r>
              <w:rPr>
                <w:sz w:val="20"/>
              </w:rPr>
              <w:t>Identificador único del chunk.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source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VARCHAR(512) NOT NULL</w:t>
            </w:r>
          </w:p>
        </w:tc>
        <w:tc>
          <w:tcPr>
            <w:tcW w:type="dxa" w:w="5437"/>
            <w:vAlign w:val="top"/>
          </w:tcPr>
          <w:p>
            <w:r/>
            <w:r>
              <w:rPr>
                <w:sz w:val="20"/>
              </w:rPr>
              <w:t>Ruta o nombre del archivo origen (ej: ley_21719.txt).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source_type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VARCHAR(50) NOT NULL</w:t>
            </w:r>
          </w:p>
        </w:tc>
        <w:tc>
          <w:tcPr>
            <w:tcW w:type="dxa" w:w="5437"/>
            <w:vAlign w:val="top"/>
          </w:tcPr>
          <w:p>
            <w:r/>
            <w:r>
              <w:rPr>
                <w:sz w:val="20"/>
              </w:rPr>
              <w:t>Tipo: ley | manual | caso_uso | auditoria | otros.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title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VARCHAR(255)</w:t>
            </w:r>
          </w:p>
        </w:tc>
        <w:tc>
          <w:tcPr>
            <w:tcW w:type="dxa" w:w="5437"/>
            <w:vAlign w:val="top"/>
          </w:tcPr>
          <w:p>
            <w:r/>
            <w:r>
              <w:rPr>
                <w:sz w:val="20"/>
              </w:rPr>
              <w:t>Encabezado o sección del chunk.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content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TEXT NOT NULL</w:t>
            </w:r>
          </w:p>
        </w:tc>
        <w:tc>
          <w:tcPr>
            <w:tcW w:type="dxa" w:w="5437"/>
            <w:vAlign w:val="top"/>
          </w:tcPr>
          <w:p>
            <w:r/>
            <w:r>
              <w:rPr>
                <w:sz w:val="20"/>
              </w:rPr>
              <w:t>Contenido textual del chunk.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content_hash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VARCHAR(64) NOT NULL UNIQUE</w:t>
            </w:r>
          </w:p>
        </w:tc>
        <w:tc>
          <w:tcPr>
            <w:tcW w:type="dxa" w:w="5437"/>
            <w:vAlign w:val="top"/>
          </w:tcPr>
          <w:p>
            <w:r/>
            <w:r>
              <w:rPr>
                <w:sz w:val="20"/>
              </w:rPr>
              <w:t>sha256 del contenido para idempotencia.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chunk_index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INTEGER</w:t>
            </w:r>
          </w:p>
        </w:tc>
        <w:tc>
          <w:tcPr>
            <w:tcW w:type="dxa" w:w="5437"/>
            <w:vAlign w:val="top"/>
          </w:tcPr>
          <w:p>
            <w:r/>
            <w:r>
              <w:rPr>
                <w:sz w:val="20"/>
              </w:rPr>
              <w:t>Posición del chunk dentro del documento.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token_count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INTEGER</w:t>
            </w:r>
          </w:p>
        </w:tc>
        <w:tc>
          <w:tcPr>
            <w:tcW w:type="dxa" w:w="5437"/>
            <w:vAlign w:val="top"/>
          </w:tcPr>
          <w:p>
            <w:r/>
            <w:r>
              <w:rPr>
                <w:sz w:val="20"/>
              </w:rPr>
              <w:t>Cantidad de tokens del chunk.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embedding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VECTOR(1536)</w:t>
            </w:r>
          </w:p>
        </w:tc>
        <w:tc>
          <w:tcPr>
            <w:tcW w:type="dxa" w:w="5437"/>
            <w:vAlign w:val="top"/>
          </w:tcPr>
          <w:p>
            <w:r/>
            <w:r>
              <w:rPr>
                <w:sz w:val="20"/>
              </w:rPr>
              <w:t>Embedding generado por MiniMax u OpenAI.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metadata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JSONB</w:t>
            </w:r>
          </w:p>
        </w:tc>
        <w:tc>
          <w:tcPr>
            <w:tcW w:type="dxa" w:w="5437"/>
            <w:vAlign w:val="top"/>
          </w:tcPr>
          <w:p>
            <w:r/>
            <w:r>
              <w:rPr>
                <w:sz w:val="20"/>
              </w:rPr>
              <w:t>Datos adicionales (página, sección, url).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created_at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TIMESTAMP</w:t>
            </w:r>
          </w:p>
        </w:tc>
        <w:tc>
          <w:tcPr>
            <w:tcW w:type="dxa" w:w="5437"/>
            <w:vAlign w:val="top"/>
          </w:tcPr>
          <w:p>
            <w:r/>
            <w:r>
              <w:rPr>
                <w:sz w:val="20"/>
              </w:rPr>
              <w:t>Fecha de creación.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updated_at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TIMESTAMP</w:t>
            </w:r>
          </w:p>
        </w:tc>
        <w:tc>
          <w:tcPr>
            <w:tcW w:type="dxa" w:w="5437"/>
            <w:vAlign w:val="top"/>
          </w:tcPr>
          <w:p>
            <w:r/>
            <w:r>
              <w:rPr>
                <w:sz w:val="20"/>
              </w:rPr>
              <w:t>Fecha de última actualización.</w:t>
            </w:r>
          </w:p>
        </w:tc>
      </w:tr>
    </w:tbl>
    <w:p>
      <w:pPr>
        <w:pStyle w:val="Heading2"/>
      </w:pPr>
      <w:r>
        <w:t>6.3 Índices</w:t>
      </w:r>
    </w:p>
    <w:p>
      <w:r>
        <w:rPr>
          <w:sz w:val="22"/>
        </w:rPr>
        <w:t>Índices definidos sobre asesor_chunks:</w:t>
      </w:r>
    </w:p>
    <w:p>
      <w:pPr>
        <w:pStyle w:val="ListBullet"/>
        <w:spacing w:after="40"/>
        <w:ind w:left="340"/>
      </w:pPr>
      <w:r>
        <w:rPr>
          <w:sz w:val="22"/>
        </w:rPr>
        <w:t>PRIMARY KEY (id): índice automático clustered.</w:t>
      </w:r>
    </w:p>
    <w:p>
      <w:pPr>
        <w:pStyle w:val="ListBullet"/>
        <w:spacing w:after="40"/>
        <w:ind w:left="340"/>
      </w:pPr>
      <w:r>
        <w:rPr>
          <w:sz w:val="22"/>
        </w:rPr>
        <w:t>UNIQUE (content_hash): garantiza idempotencia.</w:t>
      </w:r>
    </w:p>
    <w:p>
      <w:pPr>
        <w:pStyle w:val="ListBullet"/>
        <w:spacing w:after="40"/>
        <w:ind w:left="340"/>
      </w:pPr>
      <w:r>
        <w:rPr>
          <w:sz w:val="22"/>
        </w:rPr>
        <w:t>INDEX (source): acelera filtros por documento.</w:t>
      </w:r>
    </w:p>
    <w:p>
      <w:pPr>
        <w:pStyle w:val="ListBullet"/>
        <w:spacing w:after="40"/>
        <w:ind w:left="340"/>
      </w:pPr>
      <w:r>
        <w:rPr>
          <w:sz w:val="22"/>
        </w:rPr>
        <w:t>IVFFlat (embedding vector_cosine_ops) WITH (lists = 100): índice aproximado para búsqueda rápida. Ajustar lists según volumen: regla de oro lists ≈ sqrt(rows).</w:t>
      </w:r>
    </w:p>
    <w:p>
      <w:pPr>
        <w:pStyle w:val="Heading1"/>
      </w:pPr>
      <w:r>
        <w:t>7. Componentes backend nuevos</w:t>
      </w:r>
    </w:p>
    <w:p>
      <w:pPr>
        <w:spacing w:before="80" w:after="40"/>
      </w:pPr>
      <w:r>
        <w:rPr>
          <w:b/>
          <w:i/>
          <w:color w:val="0D4F3C"/>
          <w:sz w:val="18"/>
        </w:rPr>
        <w:t xml:space="preserve">Tabla 3 — </w:t>
      </w:r>
      <w:r>
        <w:rPr>
          <w:i/>
          <w:color w:val="404040"/>
          <w:sz w:val="18"/>
        </w:rPr>
        <w:t>Componentes backend nuevos del Asesor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Componente</w:t>
            </w:r>
          </w:p>
        </w:tc>
        <w:tc>
          <w:tcPr>
            <w:tcW w:type="dxa" w:w="7138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Responsabilidad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/>
                <w:sz w:val="20"/>
              </w:rPr>
              <w:t>asesor_embedder.py</w:t>
            </w:r>
          </w:p>
        </w:tc>
        <w:tc>
          <w:tcPr>
            <w:tcW w:type="dxa" w:w="7138"/>
            <w:vAlign w:val="top"/>
          </w:tcPr>
          <w:p>
            <w:r/>
            <w:r>
              <w:rPr>
                <w:sz w:val="20"/>
              </w:rPr>
              <w:t>Genera embeddings vía MiniMax u OpenAI. Detecta provider automáticamente.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/>
                <w:sz w:val="20"/>
              </w:rPr>
              <w:t>asesor_chunker.py</w:t>
            </w:r>
          </w:p>
        </w:tc>
        <w:tc>
          <w:tcPr>
            <w:tcW w:type="dxa" w:w="7138"/>
            <w:vAlign w:val="top"/>
          </w:tcPr>
          <w:p>
            <w:r/>
            <w:r>
              <w:rPr>
                <w:sz w:val="20"/>
              </w:rPr>
              <w:t>Divide documentos en chunks de 800 tokens con overlap 100. Separadores jerárquicos.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/>
                <w:sz w:val="20"/>
              </w:rPr>
              <w:t>asesor_indexer.py</w:t>
            </w:r>
          </w:p>
        </w:tc>
        <w:tc>
          <w:tcPr>
            <w:tcW w:type="dxa" w:w="7138"/>
            <w:vAlign w:val="top"/>
          </w:tcPr>
          <w:p>
            <w:r/>
            <w:r>
              <w:rPr>
                <w:sz w:val="20"/>
              </w:rPr>
              <w:t>Recorre el corpus, calcula hash, hace UPSERT idempotente.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/>
                <w:sz w:val="20"/>
              </w:rPr>
              <w:t>asesor_retriever.py</w:t>
            </w:r>
          </w:p>
        </w:tc>
        <w:tc>
          <w:tcPr>
            <w:tcW w:type="dxa" w:w="7138"/>
            <w:vAlign w:val="top"/>
          </w:tcPr>
          <w:p>
            <w:r/>
            <w:r>
              <w:rPr>
                <w:sz w:val="20"/>
              </w:rPr>
              <w:t>Convierte query a embedding, ejecuta cosine top-k sobre pgvector.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/>
                <w:sz w:val="20"/>
              </w:rPr>
              <w:t>asesor_service.py</w:t>
            </w:r>
          </w:p>
        </w:tc>
        <w:tc>
          <w:tcPr>
            <w:tcW w:type="dxa" w:w="7138"/>
            <w:vAlign w:val="top"/>
          </w:tcPr>
          <w:p>
            <w:r/>
            <w:r>
              <w:rPr>
                <w:sz w:val="20"/>
              </w:rPr>
              <w:t>Orquesta retrieve + LLM + auditoría. Entry point del endpoint /asesor/ask.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/>
                <w:sz w:val="20"/>
              </w:rPr>
              <w:t>routes/asesor.py</w:t>
            </w:r>
          </w:p>
        </w:tc>
        <w:tc>
          <w:tcPr>
            <w:tcW w:type="dxa" w:w="7138"/>
            <w:vAlign w:val="top"/>
          </w:tcPr>
          <w:p>
            <w:r/>
            <w:r>
              <w:rPr>
                <w:sz w:val="20"/>
              </w:rPr>
              <w:t>Endpoint público POST /asesor/ask.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/>
                <w:sz w:val="20"/>
              </w:rPr>
              <w:t>routes/admin_asesor.py</w:t>
            </w:r>
          </w:p>
        </w:tc>
        <w:tc>
          <w:tcPr>
            <w:tcW w:type="dxa" w:w="7138"/>
            <w:vAlign w:val="top"/>
          </w:tcPr>
          <w:p>
            <w:r/>
            <w:r>
              <w:rPr>
                <w:sz w:val="20"/>
              </w:rPr>
              <w:t>Endpoints admin: index, stats, delete.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/>
                <w:sz w:val="20"/>
              </w:rPr>
              <w:t>models/asesor.py</w:t>
            </w:r>
          </w:p>
        </w:tc>
        <w:tc>
          <w:tcPr>
            <w:tcW w:type="dxa" w:w="7138"/>
            <w:vAlign w:val="top"/>
          </w:tcPr>
          <w:p>
            <w:r/>
            <w:r>
              <w:rPr>
                <w:sz w:val="20"/>
              </w:rPr>
              <w:t>Modelo SQLAlchemy de asesor_chunks.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/>
                <w:sz w:val="20"/>
              </w:rPr>
              <w:t>schemas/asesor.py</w:t>
            </w:r>
          </w:p>
        </w:tc>
        <w:tc>
          <w:tcPr>
            <w:tcW w:type="dxa" w:w="7138"/>
            <w:vAlign w:val="top"/>
          </w:tcPr>
          <w:p>
            <w:r/>
            <w:r>
              <w:rPr>
                <w:sz w:val="20"/>
              </w:rPr>
              <w:t>Schemas Pydantic: AskRequest, AskResponse, IndexRequest, StatsResponse.</w:t>
            </w:r>
          </w:p>
        </w:tc>
      </w:tr>
    </w:tbl>
    <w:p>
      <w:pPr>
        <w:pStyle w:val="Heading1"/>
      </w:pPr>
      <w:r>
        <w:t>8. Integración con Custodio RAT</w:t>
      </w:r>
    </w:p>
    <w:p>
      <w:r>
        <w:rPr>
          <w:sz w:val="22"/>
        </w:rPr>
        <w:t>El Asesor reusa los siguientes componentes del producto padre:</w:t>
      </w:r>
    </w:p>
    <w:p>
      <w:pPr>
        <w:pStyle w:val="ListBullet"/>
        <w:spacing w:after="40"/>
        <w:ind w:left="340"/>
      </w:pPr>
      <w:r>
        <w:rPr>
          <w:sz w:val="22"/>
        </w:rPr>
        <w:t>core/config.py: añade settings ASESOR_*.</w:t>
      </w:r>
    </w:p>
    <w:p>
      <w:pPr>
        <w:pStyle w:val="ListBullet"/>
        <w:spacing w:after="40"/>
        <w:ind w:left="340"/>
      </w:pPr>
      <w:r>
        <w:rPr>
          <w:sz w:val="22"/>
        </w:rPr>
        <w:t>core/security.py: reusa get_current_user.</w:t>
      </w:r>
    </w:p>
    <w:p>
      <w:pPr>
        <w:pStyle w:val="ListBullet"/>
        <w:spacing w:after="40"/>
        <w:ind w:left="340"/>
      </w:pPr>
      <w:r>
        <w:rPr>
          <w:sz w:val="22"/>
        </w:rPr>
        <w:t>services/audit_service.py: reusa log_audit() con entidad='asesor'.</w:t>
      </w:r>
    </w:p>
    <w:p>
      <w:pPr>
        <w:pStyle w:val="ListBullet"/>
        <w:spacing w:after="40"/>
        <w:ind w:left="340"/>
      </w:pPr>
      <w:r>
        <w:rPr>
          <w:sz w:val="22"/>
        </w:rPr>
        <w:t>database/database.py: reusa get_db y Base.</w:t>
      </w:r>
    </w:p>
    <w:p>
      <w:pPr>
        <w:pStyle w:val="ListBullet"/>
        <w:spacing w:after="40"/>
        <w:ind w:left="340"/>
      </w:pPr>
      <w:r>
        <w:rPr>
          <w:sz w:val="22"/>
        </w:rPr>
        <w:t>main.py: registra los routers asesor y admin_asesor.</w:t>
      </w:r>
    </w:p>
    <w:p>
      <w:pPr>
        <w:pStyle w:val="Heading1"/>
      </w:pPr>
      <w:r>
        <w:t>Apéndice A — Vacíos de información</w:t>
      </w:r>
    </w:p>
    <w:p>
      <w:r>
        <w:rPr>
          <w:i/>
          <w:sz w:val="22"/>
        </w:rPr>
        <w:t>Las siguientes preguntas quedan abiertas al equipo de producto o al Product Owner para ser resueltas en próximas iteraciones:</w:t>
      </w:r>
    </w:p>
    <w:p>
      <w:pPr>
        <w:pStyle w:val="ListBullet"/>
        <w:spacing w:after="40"/>
        <w:ind w:left="340"/>
      </w:pPr>
      <w:r>
        <w:rPr>
          <w:sz w:val="22"/>
        </w:rPr>
        <w:t>¿Migrar de IVFFlat a HNSW cuando el corpus supere los 10K chunks?</w:t>
      </w:r>
    </w:p>
    <w:p>
      <w:pPr>
        <w:pStyle w:val="ListBullet"/>
        <w:spacing w:after="40"/>
        <w:ind w:left="340"/>
      </w:pPr>
      <w:r>
        <w:rPr>
          <w:sz w:val="22"/>
        </w:rPr>
        <w:t>¿Vale la pena comprimir embeddings (PQ) para reducir storage?</w:t>
      </w:r>
    </w:p>
    <w:p>
      <w:pPr>
        <w:pStyle w:val="ListBullet"/>
        <w:spacing w:after="40"/>
        <w:ind w:left="340"/>
      </w:pPr>
      <w:r>
        <w:rPr>
          <w:sz w:val="22"/>
        </w:rPr>
        <w:t>¿Reusar el cliente LLM de ai.py o crear uno nuevo en asesor_embedder?</w:t>
      </w:r>
    </w:p>
    <w:p>
      <w:pPr>
        <w:pStyle w:val="Heading1"/>
      </w:pPr>
      <w:r>
        <w:t>Apéndice B — Riesgos identificados</w:t>
      </w:r>
    </w:p>
    <w:p>
      <w:r>
        <w:rPr>
          <w:i/>
          <w:sz w:val="22"/>
        </w:rPr>
        <w:t>Riesgos detectados durante la auditoría documental y técnica:</w:t>
      </w:r>
    </w:p>
    <w:p>
      <w:pPr>
        <w:spacing w:before="80" w:after="40"/>
      </w:pPr>
      <w:r>
        <w:rPr>
          <w:b/>
          <w:i/>
          <w:color w:val="0D4F3C"/>
          <w:sz w:val="18"/>
        </w:rPr>
        <w:t xml:space="preserve">Tabla 1 — </w:t>
      </w:r>
      <w:r>
        <w:rPr>
          <w:i/>
          <w:color w:val="404040"/>
          <w:sz w:val="18"/>
        </w:rPr>
        <w:t>Riesgos identificados durante la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ID</w:t>
            </w:r>
          </w:p>
        </w:tc>
        <w:tc>
          <w:tcPr>
            <w:tcW w:type="dxa" w:w="7370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Descripción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Severidad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Alucinaciones del LLM sobre la ley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Endpoint embeddings MiniMax no disponible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R-07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Latencia alta por embedding + LLM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</w:tr>
    </w:tbl>
    <w:p>
      <w:pPr>
        <w:pStyle w:val="Heading1"/>
      </w:pPr>
      <w:r>
        <w:t>Apéndice C — Índice de identificadores</w:t>
      </w:r>
    </w:p>
    <w:p>
      <w:r>
        <w:rPr>
          <w:i/>
          <w:sz w:val="22"/>
        </w:rPr>
        <w:t>Identificadores únicos referenciados a lo largo del documento: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ID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Nombre</w:t>
            </w:r>
          </w:p>
        </w:tc>
        <w:tc>
          <w:tcPr>
            <w:tcW w:type="dxa" w:w="5669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Descripción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RAG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Retrieval-Augmented Generation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Arquitectura que combina retrieval con LLM.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pgvector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Extensión PostgreSQL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Soporte de vectores y cosine search en Neon.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IVFFlat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Índice aproximado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Algoritmo de búsqueda vectorial eficiente para &gt; 1K vectores.</w:t>
            </w:r>
          </w:p>
        </w:tc>
      </w:tr>
    </w:tbl>
    <w:p/>
    <w:p>
      <w:pPr>
        <w:jc w:val="center"/>
      </w:pPr>
      <w:r>
        <w:rPr>
          <w:i/>
          <w:color w:val="808080"/>
          <w:sz w:val="20"/>
        </w:rPr>
        <w:t>—  Fin del documento 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Asesor (RAG)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Arquitectura y Modelo de Datos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0D4F3C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Arquitectura y Modelo de Datos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v1.0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D4F3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C8A9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