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4"/>
        </w:rPr>
        <w:t xml:space="preserve">  ▣  ASESOR CUSTODIO  ·  MÓDULO RAG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ASES-DOC-08</w:t>
      </w:r>
    </w:p>
    <w:p/>
    <w:p/>
    <w:p>
      <w:pPr>
        <w:spacing w:after="240"/>
        <w:jc w:val="center"/>
      </w:pPr>
      <w:r>
        <w:rPr>
          <w:b/>
          <w:color w:val="0D4F3C"/>
          <w:sz w:val="56"/>
        </w:rPr>
        <w:t>MÓDULO ASESOR — SPEC DETALLADO</w:t>
      </w:r>
    </w:p>
    <w:p>
      <w:pPr>
        <w:spacing w:after="480"/>
        <w:jc w:val="center"/>
      </w:pPr>
      <w:r>
        <w:rPr>
          <w:i/>
          <w:color w:val="C8A951"/>
          <w:sz w:val="28"/>
        </w:rPr>
        <w:t>Spec técnica RAG · Corpus · Embeddings · Operación · Evolución</w:t>
      </w:r>
    </w:p>
    <w:p/>
    <w:p/>
    <w:p>
      <w:pPr>
        <w:jc w:val="center"/>
        <w:pBdr>
          <w:bottom w:val="single" w:sz="12" w:space="1" w:color="C8A951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0D4F3C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0"/>
        </w:rPr>
        <w:t xml:space="preserve">  TU ASESOR EXPERTO EN PROTECCIÓN DE DATOS — LEY 21.719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D4F3C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0D4F3C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0D4F3C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0D4F3C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Creación inicial del documento a partir de la auditoría previa AUDITORIA_ASES_V1.0.md.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F3C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0D4F3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Módulo Asesor — Spec Detallado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Visión técnica</w:t>
      </w:r>
    </w:p>
    <w:p>
      <w:r>
        <w:rPr>
          <w:sz w:val="22"/>
        </w:rPr>
        <w:t>Custodio Asesor implementa un patrón Retrieve-Augment-Generate (RAG) sobre la Ley 21.719 y los manuales de uso de Custodio. A diferencia del chat genérico (/ai/ask), el Asesor recupera evidencia del corpus antes de generar la respuesta, lo que reduce drásticamente las alucinaciones y entrega citas verificables al usuario.</w:t>
      </w:r>
    </w:p>
    <w:p>
      <w:r>
        <w:rPr>
          <w:sz w:val="22"/>
        </w:rPr>
        <w:t>El módulo está diseñado para ser un sub-sistema aislado: comparte la base de datos y la autenticación con Custodio RAT Manager, pero sus servicios, tabla y endpoints son independientes. Esto permite evolucionarlo sin afectar al resto del producto.</w:t>
      </w:r>
    </w:p>
    <w:p>
      <w:pPr>
        <w:pStyle w:val="Heading1"/>
      </w:pPr>
      <w:r>
        <w:t>2. Indexación del corpus</w:t>
      </w:r>
    </w:p>
    <w:p>
      <w:r>
        <w:rPr>
          <w:sz w:val="22"/>
        </w:rPr>
        <w:t>El pipeline de indexación consta de 5 etapas: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Etapas del pipeline de indexación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Etapa</w:t>
            </w:r>
          </w:p>
        </w:tc>
        <w:tc>
          <w:tcPr>
            <w:tcW w:type="dxa" w:w="798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1. Lectura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El indexador recorre recursivamente ASESOR_CORPUS_PATH y lee cada archivo (.md, .txt, .pdf).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2. Chunking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Cada documento se divide en chunks de ASESOR_CHUNK_SIZE tokens con overlap ASESOR_CHUNK_OVERLAP. Separadores jerárquicos: ##, ###, párrafos.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3. Hashing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Por cada chunk se calcula sha256 del contenido. Este hash es la clave de idempotencia.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4. Embedding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Si el chunk no existe, se calcula su embedding vía MiniMax (con fallback a OpenAI).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5. UPSERT</w:t>
            </w:r>
          </w:p>
        </w:tc>
        <w:tc>
          <w:tcPr>
            <w:tcW w:type="dxa" w:w="7988"/>
            <w:vAlign w:val="top"/>
          </w:tcPr>
          <w:p>
            <w:r/>
            <w:r>
              <w:rPr>
                <w:sz w:val="20"/>
              </w:rPr>
              <w:t>Se inserta en asesor_chunks con todos los metadatos. Se registra en audit_log.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874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sesor_index_76703696941111321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0D4F3C"/>
          <w:sz w:val="18"/>
        </w:rPr>
        <w:t xml:space="preserve">Figura 1 — </w:t>
      </w:r>
      <w:r>
        <w:rPr>
          <w:i/>
          <w:color w:val="404040"/>
          <w:sz w:val="18"/>
        </w:rPr>
        <w:t>Flujo de indexación del corpus.</w:t>
      </w:r>
    </w:p>
    <w:p>
      <w:pPr>
        <w:pStyle w:val="Heading1"/>
      </w:pPr>
      <w:r>
        <w:t>3. Embeddings</w:t>
      </w:r>
    </w:p>
    <w:p>
      <w:pPr>
        <w:pStyle w:val="Heading2"/>
      </w:pPr>
      <w:r>
        <w:t>3.1 Proveedor primario: MiniMax</w:t>
      </w:r>
    </w:p>
    <w:p>
      <w:r>
        <w:rPr>
          <w:sz w:val="22"/>
        </w:rPr>
        <w:t>El sistema usa MINIMAX_API_KEY (ya configurado en el backend de Custodio) como provider primario. Si MiniMax expone endpoint de embeddings compatible con OpenAI, se invoca directamente. Si no, se cae automáticamente a OpenAI.</w:t>
      </w:r>
    </w:p>
    <w:p>
      <w:pPr>
        <w:pStyle w:val="Heading2"/>
      </w:pPr>
      <w:r>
        <w:t>3.2 Fallback: OpenAI</w:t>
      </w:r>
    </w:p>
    <w:p>
      <w:r>
        <w:rPr>
          <w:sz w:val="22"/>
        </w:rPr>
        <w:t>El fallback usa text-embedding-3-small de OpenAI, que produce vectores de 1536 dimensiones a un costo muy bajo (~$0.02 por millón de tokens). El switch es automático y transparente para el usuario.</w:t>
      </w:r>
    </w:p>
    <w:p>
      <w:pPr>
        <w:pStyle w:val="Heading2"/>
      </w:pPr>
      <w:r>
        <w:t>3.3 Detección de provider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96486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asesor_provider_71842978427393375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6486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0D4F3C"/>
          <w:sz w:val="18"/>
        </w:rPr>
        <w:t xml:space="preserve">Figura 2 — </w:t>
      </w:r>
      <w:r>
        <w:rPr>
          <w:i/>
          <w:color w:val="404040"/>
          <w:sz w:val="18"/>
        </w:rPr>
        <w:t>Detección automática del proveedor de embeddings.</w:t>
      </w:r>
    </w:p>
    <w:p>
      <w:pPr>
        <w:pStyle w:val="Heading1"/>
      </w:pPr>
      <w:r>
        <w:t>4. Retrieval</w:t>
      </w:r>
    </w:p>
    <w:p>
      <w:r>
        <w:rPr>
          <w:sz w:val="22"/>
        </w:rPr>
        <w:t>El retrieval usa cosine similarity sobre pgvector. El proceso es:</w:t>
      </w:r>
    </w:p>
    <w:p>
      <w:pPr>
        <w:pStyle w:val="ListBullet"/>
        <w:spacing w:after="40"/>
        <w:ind w:left="340"/>
      </w:pPr>
      <w:r>
        <w:rPr>
          <w:sz w:val="22"/>
        </w:rPr>
        <w:t>Convertir la pregunta del usuario a embedding (mismo provider que indexación).</w:t>
      </w:r>
    </w:p>
    <w:p>
      <w:pPr>
        <w:pStyle w:val="ListBullet"/>
        <w:spacing w:after="40"/>
        <w:ind w:left="340"/>
      </w:pPr>
      <w:r>
        <w:rPr>
          <w:sz w:val="22"/>
        </w:rPr>
        <w:t>Ejecutar la query SQL: SELECT * FROM asesor_chunks ORDER BY embedding &lt;=&gt; :query LIMIT 5.</w:t>
      </w:r>
    </w:p>
    <w:p>
      <w:pPr>
        <w:pStyle w:val="ListBullet"/>
        <w:spacing w:after="40"/>
        <w:ind w:left="340"/>
      </w:pPr>
      <w:r>
        <w:rPr>
          <w:sz w:val="22"/>
        </w:rPr>
        <w:t>Filtrar los resultados con score &gt;= ASESOR_MIN_SIMILARITY (default 0.7).</w:t>
      </w:r>
    </w:p>
    <w:p>
      <w:pPr>
        <w:pStyle w:val="ListBullet"/>
        <w:spacing w:after="40"/>
        <w:ind w:left="340"/>
      </w:pPr>
      <w:r>
        <w:rPr>
          <w:sz w:val="22"/>
        </w:rPr>
        <w:t>Devolver los top-k=5 chunks al servicio orquestador.</w:t>
      </w:r>
    </w:p>
    <w:p>
      <w:pPr>
        <w:pStyle w:val="Heading2"/>
      </w:pPr>
      <w:r>
        <w:t>4.1 Métricas de similitud</w:t>
      </w:r>
    </w:p>
    <w:p>
      <w:r>
        <w:rPr>
          <w:sz w:val="22"/>
        </w:rPr>
        <w:t>El operador &lt;=&gt; de pgvector calcula la distancia coseno. La similitud coseno es 1 - distancia. El score de cada chunk es 1 - (embedding &lt;=&gt; :query). Por convención, un score &gt;= 0.7 indica relevancia alta.</w:t>
      </w:r>
    </w:p>
    <w:p>
      <w:pPr>
        <w:pStyle w:val="Heading1"/>
      </w:pPr>
      <w:r>
        <w:t>5. Generación de la respuesta</w:t>
      </w:r>
    </w:p>
    <w:p>
      <w:r>
        <w:rPr>
          <w:sz w:val="22"/>
        </w:rPr>
        <w:t>El servicio asesor_service.py construye un prompt con la pregunta del usuario y los top-k chunks como contexto. El LLM (MiniMax u OpenAI) genera una respuesta que debe incluir citas a las fuentes.</w:t>
      </w:r>
    </w:p>
    <w:p>
      <w:pPr>
        <w:pStyle w:val="Heading2"/>
      </w:pPr>
      <w:r>
        <w:t>5.1 System prompt</w:t>
      </w:r>
    </w:p>
    <w:p>
      <w:r>
        <w:rPr>
          <w:sz w:val="22"/>
        </w:rPr>
        <w:t>El system prompt establece el rol del Asesor, las instrucciones de citación obligatoria y la negativa a inventar información:</w:t>
      </w:r>
    </w:p>
    <w:p>
      <w:r>
        <w:rPr>
          <w:i/>
          <w:sz w:val="22"/>
        </w:rPr>
        <w:t>Eres Custodio Asesor, un asistente IA especializado en la Ley 21.719 de Protección de Datos Personales de Chile. Tu rol es ayudar a los responsables del tratamiento a entender sus obligaciones, respondiendo preguntas sobre la ley y el uso de Custodio.</w:t>
      </w:r>
    </w:p>
    <w:p>
      <w:r>
        <w:rPr>
          <w:i/>
          <w:sz w:val="22"/>
        </w:rPr>
        <w:t>INSTRUCCIONES CRÍTICAS:</w:t>
      </w:r>
    </w:p>
    <w:p>
      <w:pPr>
        <w:pStyle w:val="ListBullet"/>
        <w:spacing w:after="40"/>
        <w:ind w:left="340"/>
      </w:pPr>
      <w:r>
        <w:rPr>
          <w:sz w:val="22"/>
        </w:rPr>
        <w:t>Responde SOLO con la información del contexto provisto. Si no tienes la respuesta, indícalo honestamente.</w:t>
      </w:r>
    </w:p>
    <w:p>
      <w:pPr>
        <w:pStyle w:val="ListBullet"/>
        <w:spacing w:after="40"/>
        <w:ind w:left="340"/>
      </w:pPr>
      <w:r>
        <w:rPr>
          <w:sz w:val="22"/>
        </w:rPr>
        <w:t>Cita el artículo o sección de la que extraes cada afirmación. Usa el formato [Fuente: &lt;nombre&gt;, sección &lt;X&gt;].</w:t>
      </w:r>
    </w:p>
    <w:p>
      <w:pPr>
        <w:pStyle w:val="ListBullet"/>
        <w:spacing w:after="40"/>
        <w:ind w:left="340"/>
      </w:pPr>
      <w:r>
        <w:rPr>
          <w:sz w:val="22"/>
        </w:rPr>
        <w:t>No des consejos legales profesionales. Si la consulta lo requiere, recomienda consultar a un abogado.</w:t>
      </w:r>
    </w:p>
    <w:p>
      <w:pPr>
        <w:pStyle w:val="Heading2"/>
      </w:pPr>
      <w:r>
        <w:t>5.2 User prompt</w:t>
      </w:r>
    </w:p>
    <w:p>
      <w:r>
        <w:rPr>
          <w:sz w:val="22"/>
        </w:rPr>
        <w:t>El user prompt tiene la forma:</w:t>
      </w:r>
    </w:p>
    <w:p>
      <w:r>
        <w:rPr>
          <w:i/>
          <w:sz w:val="22"/>
        </w:rPr>
        <w:t>Pregunta: &lt;question del usuario&gt;</w:t>
      </w:r>
    </w:p>
    <w:p>
      <w:r>
        <w:rPr>
          <w:i/>
          <w:sz w:val="22"/>
        </w:rPr>
      </w:r>
    </w:p>
    <w:p>
      <w:r>
        <w:rPr>
          <w:i/>
          <w:sz w:val="22"/>
        </w:rPr>
        <w:t>Contexto:</w:t>
      </w:r>
    </w:p>
    <w:p>
      <w:r>
        <w:rPr>
          <w:i/>
          <w:sz w:val="22"/>
        </w:rPr>
        <w:t>[1] &lt;chunk 1&gt; (score: 0.85)</w:t>
      </w:r>
    </w:p>
    <w:p>
      <w:r>
        <w:rPr>
          <w:i/>
          <w:sz w:val="22"/>
        </w:rPr>
        <w:t>[2] &lt;chunk 2&gt; (score: 0.79)</w:t>
      </w:r>
    </w:p>
    <w:p>
      <w:r>
        <w:rPr>
          <w:i/>
          <w:sz w:val="22"/>
        </w:rPr>
        <w:t>...</w:t>
      </w:r>
    </w:p>
    <w:p>
      <w:r>
        <w:rPr>
          <w:i/>
          <w:sz w:val="22"/>
        </w:rPr>
        <w:t>Responde la pregunta citando explícitamente las fuentes [1], [2], etc.</w:t>
      </w:r>
    </w:p>
    <w:p>
      <w:pPr>
        <w:pStyle w:val="Heading1"/>
      </w:pPr>
      <w:r>
        <w:t>6. Citas a fuentes</w:t>
      </w:r>
    </w:p>
    <w:p>
      <w:r>
        <w:rPr>
          <w:sz w:val="22"/>
        </w:rPr>
        <w:t>Cada respuesta del Asesor incluye el campo sources, que es una lista de objetos Source con: source, source_type, title, chunk_index, score, snippet. El frontend los renderiza como chips clicables.</w:t>
      </w:r>
    </w:p>
    <w:p>
      <w:pPr>
        <w:pStyle w:val="ListBullet"/>
        <w:spacing w:after="40"/>
        <w:ind w:left="340"/>
      </w:pPr>
      <w:r>
        <w:rPr>
          <w:sz w:val="22"/>
        </w:rPr>
        <w:t>Si el LLM no cita ninguna fuente, el frontend muestra un banner amarillo 'La respuesta no incluye citas explícitas, verifica con el documento original'.</w:t>
      </w:r>
    </w:p>
    <w:p>
      <w:pPr>
        <w:pStyle w:val="ListBullet"/>
        <w:spacing w:after="40"/>
        <w:ind w:left="340"/>
      </w:pPr>
      <w:r>
        <w:rPr>
          <w:sz w:val="22"/>
        </w:rPr>
        <w:t>Si min_similarity se cumple para 0 chunks, el sistema no llama al LLM: retorna fallback.</w:t>
      </w:r>
    </w:p>
    <w:p>
      <w:pPr>
        <w:pStyle w:val="ListBullet"/>
        <w:spacing w:after="40"/>
        <w:ind w:left="340"/>
      </w:pPr>
      <w:r>
        <w:rPr>
          <w:sz w:val="22"/>
        </w:rPr>
        <w:t>El snippet es un fragmento de 200 chars centrado en la coincidencia más fuerte.</w:t>
      </w:r>
    </w:p>
    <w:p>
      <w:pPr>
        <w:pStyle w:val="Heading1"/>
      </w:pPr>
      <w:r>
        <w:t>7. Auditoría</w:t>
      </w:r>
    </w:p>
    <w:p>
      <w:r>
        <w:rPr>
          <w:sz w:val="22"/>
        </w:rPr>
        <w:t>Cada consulta al Asesor se registra en audit_log con la siguiente estructura (campo detalle, JSON):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2 — </w:t>
      </w:r>
      <w:r>
        <w:rPr>
          <w:i/>
          <w:color w:val="404040"/>
          <w:sz w:val="18"/>
        </w:rPr>
        <w:t>Estructura del detalle en audit_log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Campo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Tipo</w:t>
            </w:r>
          </w:p>
        </w:tc>
        <w:tc>
          <w:tcPr>
            <w:tcW w:type="dxa" w:w="600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Primeros 500 chars de la pregunta.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context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Contexto adicional (si se envió).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sources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array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Lista de {source, score}.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top_score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Mejor score de los chunks.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Proveedor del LLM: minimax u openai.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embedding_provider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Proveedor de embeddings: minimax u openai.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latency_ms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6004"/>
            <w:vAlign w:val="top"/>
          </w:tcPr>
          <w:p>
            <w:r/>
            <w:r>
              <w:rPr>
                <w:sz w:val="20"/>
              </w:rPr>
              <w:t>Duración total de la consulta.</w:t>
            </w:r>
          </w:p>
        </w:tc>
      </w:tr>
    </w:tbl>
    <w:p>
      <w:pPr>
        <w:pStyle w:val="Heading1"/>
      </w:pPr>
      <w:r>
        <w:t>8. Operación y monitoreo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3 — </w:t>
      </w:r>
      <w:r>
        <w:rPr>
          <w:i/>
          <w:color w:val="404040"/>
          <w:sz w:val="18"/>
        </w:rPr>
        <w:t>Métricas operativas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Métrica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Origen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Umbral</w:t>
            </w:r>
          </w:p>
        </w:tc>
        <w:tc>
          <w:tcPr>
            <w:tcW w:type="dxa" w:w="4586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Acción si se incumple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Latencia P95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Logs de request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&lt; 5s</w:t>
            </w:r>
          </w:p>
        </w:tc>
        <w:tc>
          <w:tcPr>
            <w:tcW w:type="dxa" w:w="4586"/>
            <w:vAlign w:val="top"/>
          </w:tcPr>
          <w:p>
            <w:r/>
            <w:r>
              <w:rPr>
                <w:sz w:val="20"/>
              </w:rPr>
              <w:t>Optimizar top_k o cambiar de modelo.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Tasa de fallback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audit_log.fallback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≤ 20%</w:t>
            </w:r>
          </w:p>
        </w:tc>
        <w:tc>
          <w:tcPr>
            <w:tcW w:type="dxa" w:w="4586"/>
            <w:vAlign w:val="top"/>
          </w:tcPr>
          <w:p>
            <w:r/>
            <w:r>
              <w:rPr>
                <w:sz w:val="20"/>
              </w:rPr>
              <w:t>Ampliar corpus o bajar min_similarity.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Tasa de error 5xx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Logs de response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&lt; 1%</w:t>
            </w:r>
          </w:p>
        </w:tc>
        <w:tc>
          <w:tcPr>
            <w:tcW w:type="dxa" w:w="4586"/>
            <w:vAlign w:val="top"/>
          </w:tcPr>
          <w:p>
            <w:r/>
            <w:r>
              <w:rPr>
                <w:sz w:val="20"/>
              </w:rPr>
              <w:t>Escalar incidente según severidad.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Costo diario USD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API de MiniMax / OpenAI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&lt; USD 5/día</w:t>
            </w:r>
          </w:p>
        </w:tc>
        <w:tc>
          <w:tcPr>
            <w:tcW w:type="dxa" w:w="4586"/>
            <w:vAlign w:val="top"/>
          </w:tcPr>
          <w:p>
            <w:r/>
            <w:r>
              <w:rPr>
                <w:sz w:val="20"/>
              </w:rPr>
              <w:t>Revisar frecuencia de reindex.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Chunks indexados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/admin/asesor/stats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Creciente</w:t>
            </w:r>
          </w:p>
        </w:tc>
        <w:tc>
          <w:tcPr>
            <w:tcW w:type="dxa" w:w="4586"/>
            <w:vAlign w:val="top"/>
          </w:tcPr>
          <w:p>
            <w:r/>
            <w:r>
              <w:rPr>
                <w:sz w:val="20"/>
              </w:rPr>
              <w:t>Reindexar si se quedó estancado.</w:t>
            </w:r>
          </w:p>
        </w:tc>
      </w:tr>
    </w:tbl>
    <w:p>
      <w:pPr>
        <w:pStyle w:val="Heading1"/>
      </w:pPr>
      <w:r>
        <w:t>9. Plan de evolución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4 — </w:t>
      </w:r>
      <w:r>
        <w:rPr>
          <w:i/>
          <w:color w:val="404040"/>
          <w:sz w:val="18"/>
        </w:rPr>
        <w:t>Roadmap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Versión</w:t>
            </w:r>
          </w:p>
        </w:tc>
        <w:tc>
          <w:tcPr>
            <w:tcW w:type="dxa" w:w="657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Funcionalidad clave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v1.0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RAG básico: chat, index, stats, delete, citas, auditoría.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Esta versión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v1.1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Streaming SSE, reindex automático semanal, historial de conversaciones, soporte PDF.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v1.2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Re-ranking con cross-encoder, multi-idioma, sugerencias de acciones.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v2.0</w:t>
            </w:r>
          </w:p>
        </w:tc>
        <w:tc>
          <w:tcPr>
            <w:tcW w:type="dxa" w:w="6571"/>
            <w:vAlign w:val="top"/>
          </w:tcPr>
          <w:p>
            <w:r/>
            <w:r>
              <w:rPr>
                <w:sz w:val="20"/>
              </w:rPr>
              <w:t>Asesor proactivo: notifica cambios legales relevantes al usuario, integra con flujos de Custodio (sugerir crear EIPD).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¿Vale la pena comprimir embeddings con Product Quantization para reducir storage?</w:t>
      </w:r>
    </w:p>
    <w:p>
      <w:pPr>
        <w:pStyle w:val="ListBullet"/>
        <w:spacing w:after="40"/>
        <w:ind w:left="340"/>
      </w:pPr>
      <w:r>
        <w:rPr>
          <w:sz w:val="22"/>
        </w:rPr>
        <w:t>¿El Asesor debe poder ser invocado desde otros lugares del frontend (no solo /asesor) como un panel flotante?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Alucinaciones del LLM sobre la ley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Endpoint embeddings MiniMax no disponible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Costos de embeddings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R-07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Latencia alta por embedding + LLM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RAG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Retrieval-Augmented Generation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Patrón de IA que combina retrieval con generación.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pgvector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Extensión PostgreSQL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Soporte de búsqueda vectorial en Neon.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Cosine similarity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Métrica de similitud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Mide el ángulo entre dos vectores (0-1).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Módulo Asesor — Spec Detallado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0D4F3C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Módulo Asesor — Spec Detallado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