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B5E20"/>
          <w:left w:val="single" w:sz="16" w:space="4" w:color="1B5E20"/>
          <w:bottom w:val="single" w:sz="16" w:space="4" w:color="1B5E20"/>
          <w:right w:val="single" w:sz="16" w:space="4" w:color="1B5E20"/>
        </w:pBdr>
        <w:shd w:val="clear" w:color="auto" w:fill="1B5E20"/>
      </w:pPr>
      <w:r>
        <w:rPr>
          <w:b/>
          <w:color w:val="FFFFFF"/>
          <w:sz w:val="24"/>
        </w:rPr>
        <w:t xml:space="preserve">  ▣  CUSTODIO  ·  CUSTODIO ASESOR (RAG)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ASES-DOC-01</w:t>
      </w:r>
    </w:p>
    <w:p/>
    <w:p/>
    <w:p>
      <w:pPr>
        <w:spacing w:after="240"/>
        <w:jc w:val="center"/>
      </w:pPr>
      <w:r>
        <w:rPr>
          <w:b/>
          <w:color w:val="1B5E20"/>
          <w:sz w:val="56"/>
        </w:rPr>
        <w:t>VISION Y ALCANCE DEL ASESOR</w:t>
      </w:r>
    </w:p>
    <w:p>
      <w:pPr>
        <w:spacing w:after="480"/>
        <w:jc w:val="center"/>
      </w:pPr>
      <w:r>
        <w:rPr>
          <w:i/>
          <w:color w:val="2E7D32"/>
          <w:sz w:val="28"/>
        </w:rPr>
        <w:t>Modulo RAG de Custodio RAT Manager - Ley 21.719</w:t>
      </w:r>
    </w:p>
    <w:p/>
    <w:p/>
    <w:p>
      <w:pPr>
        <w:jc w:val="center"/>
        <w:pBdr>
          <w:bottom w:val="single" w:sz="12" w:space="1" w:color="BF8F00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B5E20"/>
          <w:sz w:val="22"/>
        </w:rPr>
        <w:t xml:space="preserve">Versión:  </w:t>
      </w:r>
      <w:r>
        <w:rPr>
          <w:color w:val="404040"/>
          <w:sz w:val="22"/>
        </w:rPr>
        <w:t>v1.0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Producto:  </w:t>
      </w:r>
      <w:r>
        <w:rPr>
          <w:color w:val="404040"/>
          <w:sz w:val="22"/>
        </w:rPr>
        <w:t>Custodio Asesor (RAG)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Producto padre: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B5E20"/>
          <w:left w:val="single" w:sz="16" w:space="4" w:color="1B5E20"/>
          <w:bottom w:val="single" w:sz="16" w:space="4" w:color="1B5E20"/>
          <w:right w:val="single" w:sz="16" w:space="4" w:color="1B5E20"/>
        </w:pBdr>
        <w:shd w:val="clear" w:color="auto" w:fill="1B5E20"/>
      </w:pPr>
      <w:r>
        <w:rPr>
          <w:b/>
          <w:color w:val="FFFFFF"/>
          <w:sz w:val="20"/>
        </w:rPr>
        <w:t xml:space="preserve">  ASISTENTE IA ESPECIALIZADO EN LA LEY N.° 21.719 DE CHILE — CUSTODIO RAT MANAGER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B5E20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B5E20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B5E20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B5E20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Creacion inicial del documento a partir de la auditoría previa AUDITORIA_ASES_V1.0.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B5E20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B5E20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Vision y Alcance del Asesor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Asesor (RAG)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Problema que resuelve</w:t>
      </w:r>
    </w:p>
    <w:p>
      <w:r>
        <w:rPr>
          <w:sz w:val="22"/>
        </w:rPr>
        <w:t>Las organizaciones chilenas que deben cumplir la Ley 21.719 se enfrentan a tres problemas operativos recurrentes al gestionar el Registro de Actividades de Tratamiento (RAT):</w:t>
      </w:r>
    </w:p>
    <w:p>
      <w:pPr>
        <w:pStyle w:val="ListBullet"/>
        <w:spacing w:after="40"/>
        <w:ind w:left="340"/>
      </w:pPr>
      <w:r>
        <w:rPr>
          <w:sz w:val="22"/>
        </w:rPr>
        <w:t>Interpretacion legal: Dificultad para interpretar los articulos de la ley sin asistencia legal especializada.</w:t>
      </w:r>
    </w:p>
    <w:p>
      <w:pPr>
        <w:pStyle w:val="ListBullet"/>
        <w:spacing w:after="40"/>
        <w:ind w:left="340"/>
      </w:pPr>
      <w:r>
        <w:rPr>
          <w:sz w:val="22"/>
        </w:rPr>
        <w:t>Inconsistencia: Respuestas inconsistentes al responder consultas internas sobre que RAT crear, que base legal aplicar o como documentar un consentimiento.</w:t>
      </w:r>
    </w:p>
    <w:p>
      <w:pPr>
        <w:pStyle w:val="ListBullet"/>
        <w:spacing w:after="40"/>
        <w:ind w:left="340"/>
      </w:pPr>
      <w:r>
        <w:rPr>
          <w:sz w:val="22"/>
        </w:rPr>
        <w:t>Latencia: Tiempo elevado entre la consulta del responsable y la obtencion de una respuesta accionable.</w:t>
      </w:r>
    </w:p>
    <w:p>
      <w:r>
        <w:rPr>
          <w:sz w:val="22"/>
        </w:rPr>
        <w:t>El modulo Custodio Asesor ataca estos tres problemas con un asistente IA que recupera evidencia directa desde el corpus legal (Ley 21.719) y los manuales operativos de Custodio RAT Manager, y genera respuestas citadas y trazables.</w:t>
      </w:r>
    </w:p>
    <w:p>
      <w:pPr>
        <w:pBdr>
          <w:top w:val="single" w:sz="16" w:space="4" w:color="2E7D32"/>
          <w:left w:val="single" w:sz="16" w:space="4" w:color="2E7D32"/>
          <w:bottom w:val="single" w:sz="16" w:space="4" w:color="2E7D32"/>
          <w:right w:val="single" w:sz="16" w:space="4" w:color="2E7D32"/>
        </w:pBdr>
        <w:shd w:val="clear" w:color="auto" w:fill="EDF7E5"/>
        <w:spacing w:before="80" w:after="80"/>
        <w:ind w:left="113" w:right="113"/>
      </w:pPr>
      <w:r>
        <w:rPr>
          <w:b/>
          <w:color w:val="1B5E20"/>
          <w:sz w:val="20"/>
        </w:rPr>
        <w:t xml:space="preserve">ℹ  Citas obligatorias.  </w:t>
      </w:r>
      <w:r>
        <w:rPr>
          <w:color w:val="404040"/>
          <w:sz w:val="20"/>
        </w:rPr>
        <w:t>El Asesor nunca responde 'de memoria'. Toda respuesta incluye al menos una cita a la fuente ([Fuente: &lt;nombre&gt;, seccion &lt;X&gt;]). Si no encuentra evidencia en el corpus, lo indica honestamente en lugar de inventar.</w:t>
      </w:r>
    </w:p>
    <w:p>
      <w:pPr>
        <w:pStyle w:val="Heading1"/>
      </w:pPr>
      <w:r>
        <w:t>2. Objetivos del negocio</w:t>
      </w:r>
    </w:p>
    <w:p>
      <w:pPr>
        <w:spacing w:before="80" w:after="40"/>
      </w:pPr>
      <w:r>
        <w:rPr>
          <w:b/>
          <w:i/>
          <w:color w:val="1B5E20"/>
          <w:sz w:val="18"/>
        </w:rPr>
        <w:t xml:space="preserve">Tabla 1 — </w:t>
      </w:r>
      <w:r>
        <w:rPr>
          <w:i/>
          <w:color w:val="404040"/>
          <w:sz w:val="18"/>
        </w:rPr>
        <w:t>Objetivos de negocio del Asesor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417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ID</w:t>
            </w:r>
          </w:p>
        </w:tc>
        <w:tc>
          <w:tcPr>
            <w:tcW w:type="dxa" w:w="8555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ON-01</w:t>
            </w:r>
          </w:p>
        </w:tc>
        <w:tc>
          <w:tcPr>
            <w:tcW w:type="dxa" w:w="8555"/>
            <w:vAlign w:val="top"/>
          </w:tcPr>
          <w:p>
            <w:r/>
            <w:r>
              <w:rPr>
                <w:sz w:val="20"/>
              </w:rPr>
              <w:t>Reducir el tiempo medio de respuesta a consultas sobre Ley 21.719 de ~1 dia a &lt; 5 segundos (P95).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ON-02</w:t>
            </w:r>
          </w:p>
        </w:tc>
        <w:tc>
          <w:tcPr>
            <w:tcW w:type="dxa" w:w="8555"/>
            <w:vAlign w:val="top"/>
          </w:tcPr>
          <w:p>
            <w:r/>
            <w:r>
              <w:rPr>
                <w:sz w:val="20"/>
              </w:rPr>
              <w:t>Aumentar la consistencia de las RATs generadas por distintos usuarios de una misma empresa.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ON-03</w:t>
            </w:r>
          </w:p>
        </w:tc>
        <w:tc>
          <w:tcPr>
            <w:tcW w:type="dxa" w:w="8555"/>
            <w:vAlign w:val="top"/>
          </w:tcPr>
          <w:p>
            <w:r/>
            <w:r>
              <w:rPr>
                <w:sz w:val="20"/>
              </w:rPr>
              <w:t>Disminuir la dependencia de asesoria legal externa para consultas operativas recurrentes.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ON-04</w:t>
            </w:r>
          </w:p>
        </w:tc>
        <w:tc>
          <w:tcPr>
            <w:tcW w:type="dxa" w:w="8555"/>
            <w:vAlign w:val="top"/>
          </w:tcPr>
          <w:p>
            <w:r/>
            <w:r>
              <w:rPr>
                <w:sz w:val="20"/>
              </w:rPr>
              <w:t>Acelerar la adopcion de Custodio RAT Manager como herramienta de uso cotidiano.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ON-05</w:t>
            </w:r>
          </w:p>
        </w:tc>
        <w:tc>
          <w:tcPr>
            <w:tcW w:type="dxa" w:w="8555"/>
            <w:vAlign w:val="top"/>
          </w:tcPr>
          <w:p>
            <w:r/>
            <w:r>
              <w:rPr>
                <w:sz w:val="20"/>
              </w:rPr>
              <w:t>Generar diferenciacion competitiva frente a competidores que no ofrecen asistencia IA contextual.</w:t>
            </w:r>
          </w:p>
        </w:tc>
      </w:tr>
    </w:tbl>
    <w:p>
      <w:pPr>
        <w:pStyle w:val="Heading1"/>
      </w:pPr>
      <w:r>
        <w:t>3. Público objetivo</w:t>
      </w:r>
    </w:p>
    <w:p>
      <w:pPr>
        <w:spacing w:before="80" w:after="40"/>
      </w:pPr>
      <w:r>
        <w:rPr>
          <w:b/>
          <w:i/>
          <w:color w:val="1B5E20"/>
          <w:sz w:val="18"/>
        </w:rPr>
        <w:t xml:space="preserve">Tabla 2 — </w:t>
      </w:r>
      <w:r>
        <w:rPr>
          <w:i/>
          <w:color w:val="404040"/>
          <w:sz w:val="18"/>
        </w:rPr>
        <w:t>Público objetivo del Asesor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Rol</w:t>
            </w:r>
          </w:p>
        </w:tc>
        <w:tc>
          <w:tcPr>
            <w:tcW w:type="dxa" w:w="6854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Necesidad cubierta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20"/>
              </w:rPr>
              <w:t>DPO / Oficial de proteccion de datos</w:t>
            </w:r>
          </w:p>
        </w:tc>
        <w:tc>
          <w:tcPr>
            <w:tcW w:type="dxa" w:w="6854"/>
            <w:vAlign w:val="top"/>
          </w:tcPr>
          <w:p>
            <w:r/>
            <w:r>
              <w:rPr>
                <w:sz w:val="20"/>
              </w:rPr>
              <w:t>Consultas tecnicas recurrentes sobre articulos y procedimientos de la ley.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20"/>
              </w:rPr>
              <w:t>Administrador de empresa (admin_empresa)</w:t>
            </w:r>
          </w:p>
        </w:tc>
        <w:tc>
          <w:tcPr>
            <w:tcW w:type="dxa" w:w="6854"/>
            <w:vAlign w:val="top"/>
          </w:tcPr>
          <w:p>
            <w:r/>
            <w:r>
              <w:rPr>
                <w:sz w:val="20"/>
              </w:rPr>
              <w:t>Dudas operativas al crear/editar RATs, brechas o consentimientos.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20"/>
              </w:rPr>
              <w:t>Usuario regular</w:t>
            </w:r>
          </w:p>
        </w:tc>
        <w:tc>
          <w:tcPr>
            <w:tcW w:type="dxa" w:w="6854"/>
            <w:vAlign w:val="top"/>
          </w:tcPr>
          <w:p>
            <w:r/>
            <w:r>
              <w:rPr>
                <w:sz w:val="20"/>
              </w:rPr>
              <w:t>Soporte contextual al usar el sistema, sin abandonar la pantalla actual.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20"/>
              </w:rPr>
              <w:t>Auditor externo / APDP</w:t>
            </w:r>
          </w:p>
        </w:tc>
        <w:tc>
          <w:tcPr>
            <w:tcW w:type="dxa" w:w="6854"/>
            <w:vAlign w:val="top"/>
          </w:tcPr>
          <w:p>
            <w:r/>
            <w:r>
              <w:rPr>
                <w:sz w:val="20"/>
              </w:rPr>
              <w:t>Acceso de solo lectura a evidencia y consultas registradas (audit_log).</w:t>
            </w:r>
          </w:p>
        </w:tc>
      </w:tr>
    </w:tbl>
    <w:p>
      <w:pPr>
        <w:pStyle w:val="Heading1"/>
      </w:pPr>
      <w:r>
        <w:t>4. Propuesta de valor</w:t>
      </w:r>
    </w:p>
    <w:p>
      <w:r>
        <w:rPr>
          <w:sz w:val="22"/>
        </w:rPr>
        <w:t>Custodio Asesor ofrece respuestas accionables, citadas y trazables sobre la Ley 21.719, integradas a la plataforma Custodio RAT Manager. La propuesta se apoya en cuatro pilares: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Recuperacion: </w:t>
      </w:r>
      <w:r>
        <w:rPr>
          <w:sz w:val="22"/>
        </w:rPr>
        <w:t>Recuperacion: Recupera evidencia del corpus legal y de manuales operativos antes de responder.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Citas: </w:t>
      </w:r>
      <w:r>
        <w:rPr>
          <w:sz w:val="22"/>
        </w:rPr>
        <w:t>Citas: Cita explicitamente el articulo o seccion de la que extrae la respuesta.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Auditoría: </w:t>
      </w:r>
      <w:r>
        <w:rPr>
          <w:sz w:val="22"/>
        </w:rPr>
        <w:t>Auditoría: Registra cada consulta en audit_log para evidencia de cumplimiento.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Aislamiento: </w:t>
      </w:r>
      <w:r>
        <w:rPr>
          <w:sz w:val="22"/>
        </w:rPr>
        <w:t>Aislamiento: Mantiene el contexto multi-tenant: nunca mezcla información entre empresas.</w:t>
      </w:r>
    </w:p>
    <w:p>
      <w:pPr>
        <w:pStyle w:val="Heading1"/>
      </w:pPr>
      <w:r>
        <w:t>5. Alcance del producto (v1.0)</w:t>
      </w:r>
    </w:p>
    <w:p>
      <w:pPr>
        <w:pStyle w:val="Heading2"/>
      </w:pPr>
      <w:r>
        <w:t>5.1 Dentro del alcance</w:t>
      </w:r>
    </w:p>
    <w:p>
      <w:pPr>
        <w:pStyle w:val="ListBullet"/>
        <w:spacing w:after="40"/>
        <w:ind w:left="340"/>
      </w:pPr>
      <w:r>
        <w:rPr>
          <w:sz w:val="22"/>
        </w:rPr>
        <w:t>Chat autenticado en la pagina /asesor para usuarios logueados.</w:t>
      </w:r>
    </w:p>
    <w:p>
      <w:pPr>
        <w:pStyle w:val="ListBullet"/>
        <w:spacing w:after="40"/>
        <w:ind w:left="340"/>
      </w:pPr>
      <w:r>
        <w:rPr>
          <w:sz w:val="22"/>
        </w:rPr>
        <w:t>Retrieval-augmented generation sobre el corpus indexado.</w:t>
      </w:r>
    </w:p>
    <w:p>
      <w:pPr>
        <w:pStyle w:val="ListBullet"/>
        <w:spacing w:after="40"/>
        <w:ind w:left="340"/>
      </w:pPr>
      <w:r>
        <w:rPr>
          <w:sz w:val="22"/>
        </w:rPr>
        <w:t>Citas a fuentes en cada respuesta con link al documento original.</w:t>
      </w:r>
    </w:p>
    <w:p>
      <w:pPr>
        <w:pStyle w:val="ListBullet"/>
        <w:spacing w:after="40"/>
        <w:ind w:left="340"/>
      </w:pPr>
      <w:r>
        <w:rPr>
          <w:sz w:val="22"/>
        </w:rPr>
        <w:t>Auditoría de cada consulta en audit_log (entidad=asesor).</w:t>
      </w:r>
    </w:p>
    <w:p>
      <w:pPr>
        <w:pStyle w:val="ListBullet"/>
        <w:spacing w:after="40"/>
        <w:ind w:left="340"/>
      </w:pPr>
      <w:r>
        <w:rPr>
          <w:sz w:val="22"/>
        </w:rPr>
        <w:t>Endpoint admin /admin/asesor/index para indexar/actualizar el corpus.</w:t>
      </w:r>
    </w:p>
    <w:p>
      <w:pPr>
        <w:pStyle w:val="ListBullet"/>
        <w:spacing w:after="40"/>
        <w:ind w:left="340"/>
      </w:pPr>
      <w:r>
        <w:rPr>
          <w:sz w:val="22"/>
        </w:rPr>
        <w:t>Endpoint admin /admin/asesor/stats para ver cobertura del corpus.</w:t>
      </w:r>
    </w:p>
    <w:p>
      <w:pPr>
        <w:pStyle w:val="ListBullet"/>
        <w:spacing w:after="40"/>
        <w:ind w:left="340"/>
      </w:pPr>
      <w:r>
        <w:rPr>
          <w:sz w:val="22"/>
        </w:rPr>
        <w:t>Soporte de corpus Markdown (.md) y texto plano (.txt) en v1.0.</w:t>
      </w:r>
    </w:p>
    <w:p>
      <w:pPr>
        <w:pStyle w:val="ListBullet"/>
        <w:spacing w:after="40"/>
        <w:ind w:left="340"/>
      </w:pPr>
      <w:r>
        <w:rPr>
          <w:sz w:val="22"/>
        </w:rPr>
        <w:t>Embeddings via MiniMax con fallback automático a OpenAI.</w:t>
      </w:r>
    </w:p>
    <w:p>
      <w:pPr>
        <w:pStyle w:val="Heading2"/>
      </w:pPr>
      <w:r>
        <w:t>5.2 Fuera del alcance (v1.0)</w:t>
      </w:r>
    </w:p>
    <w:p>
      <w:pPr>
        <w:pStyle w:val="ListBullet"/>
        <w:spacing w:after="40"/>
        <w:ind w:left="340"/>
      </w:pPr>
      <w:r>
        <w:rPr>
          <w:sz w:val="22"/>
        </w:rPr>
        <w:t>Acceso público (formulario ARCO) - se difiere a v1.1.</w:t>
      </w:r>
    </w:p>
    <w:p>
      <w:pPr>
        <w:pStyle w:val="ListBullet"/>
        <w:spacing w:after="40"/>
        <w:ind w:left="340"/>
      </w:pPr>
      <w:r>
        <w:rPr>
          <w:sz w:val="22"/>
        </w:rPr>
        <w:t>Streaming de respuestas via SSE - se difiere a v1.1.</w:t>
      </w:r>
    </w:p>
    <w:p>
      <w:pPr>
        <w:pStyle w:val="ListBullet"/>
        <w:spacing w:after="40"/>
        <w:ind w:left="340"/>
      </w:pPr>
      <w:r>
        <w:rPr>
          <w:sz w:val="22"/>
        </w:rPr>
        <w:t>Reindex automático programado - se difiere a v1.1.</w:t>
      </w:r>
    </w:p>
    <w:p>
      <w:pPr>
        <w:pStyle w:val="ListBullet"/>
        <w:spacing w:after="40"/>
        <w:ind w:left="340"/>
      </w:pPr>
      <w:r>
        <w:rPr>
          <w:sz w:val="22"/>
        </w:rPr>
        <w:t>Historial de conversaciones persistido - se difiere a v1.1.</w:t>
      </w:r>
    </w:p>
    <w:p>
      <w:pPr>
        <w:pStyle w:val="ListBullet"/>
        <w:spacing w:after="40"/>
        <w:ind w:left="340"/>
      </w:pPr>
      <w:r>
        <w:rPr>
          <w:sz w:val="22"/>
        </w:rPr>
        <w:t>Soporte de PDFs con OCR - se difiere a v1.1 (en v1.0 solo se soporta texto extraido).</w:t>
      </w:r>
    </w:p>
    <w:p>
      <w:pPr>
        <w:pStyle w:val="ListBullet"/>
        <w:spacing w:after="40"/>
        <w:ind w:left="340"/>
      </w:pPr>
      <w:r>
        <w:rPr>
          <w:sz w:val="22"/>
        </w:rPr>
        <w:t>Multi-idioma - solo español en v1.0.</w:t>
      </w:r>
    </w:p>
    <w:p>
      <w:pPr>
        <w:pStyle w:val="ListBullet"/>
        <w:spacing w:after="40"/>
        <w:ind w:left="340"/>
      </w:pPr>
      <w:r>
        <w:rPr>
          <w:sz w:val="22"/>
        </w:rPr>
        <w:t>Re-ranking con cross-encoder - v1.0 usa cosine top-k simple.</w:t>
      </w:r>
    </w:p>
    <w:p>
      <w:pPr>
        <w:pStyle w:val="Heading1"/>
      </w:pPr>
      <w:r>
        <w:t>6. Beneficios esperados</w:t>
      </w:r>
    </w:p>
    <w:p>
      <w:pPr>
        <w:spacing w:before="80" w:after="40"/>
      </w:pPr>
      <w:r>
        <w:rPr>
          <w:b/>
          <w:i/>
          <w:color w:val="1B5E20"/>
          <w:sz w:val="18"/>
        </w:rPr>
        <w:t xml:space="preserve">Tabla 3 — </w:t>
      </w:r>
      <w:r>
        <w:rPr>
          <w:i/>
          <w:color w:val="404040"/>
          <w:sz w:val="18"/>
        </w:rPr>
        <w:t>Beneficios esperados del Asesor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Beneficio medible</w:t>
            </w:r>
          </w:p>
        </w:tc>
        <w:tc>
          <w:tcPr>
            <w:tcW w:type="dxa" w:w="6004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Métrica objetivo</w:t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Reduccion del tiempo de consulta legal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De 1 dia a &lt; 5 segundos (P95)</w:t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Cobertura del corpus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100% de los articulos relevantes indexados</w:t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Tasa de respuestas con cita valida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&gt;= 95%</w:t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Adopcion por usuarios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&gt;= 40% de usuarios activos usan el Asesor en el primer mes</w:t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Reduccion de tickets a soporte humano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&gt;= 30% menos tickets de primer nivel</w:t>
            </w:r>
          </w:p>
        </w:tc>
      </w:tr>
    </w:tbl>
    <w:p>
      <w:pPr>
        <w:pStyle w:val="Heading1"/>
      </w:pPr>
      <w:r>
        <w:t>7. Restricciones y asunciones</w:t>
      </w:r>
    </w:p>
    <w:p>
      <w:pPr>
        <w:pStyle w:val="Heading2"/>
      </w:pPr>
      <w:r>
        <w:t>7.1 Restricciones tecnicas</w:t>
      </w:r>
    </w:p>
    <w:p>
      <w:pPr>
        <w:pStyle w:val="ListBullet"/>
        <w:spacing w:after="40"/>
        <w:ind w:left="340"/>
      </w:pPr>
      <w:r>
        <w:rPr>
          <w:sz w:val="22"/>
        </w:rPr>
        <w:t>Vercel serverless: latencia de cold start afecta a la primera consulta.</w:t>
      </w:r>
    </w:p>
    <w:p>
      <w:pPr>
        <w:pStyle w:val="ListBullet"/>
        <w:spacing w:after="40"/>
        <w:ind w:left="340"/>
      </w:pPr>
      <w:r>
        <w:rPr>
          <w:sz w:val="22"/>
        </w:rPr>
        <w:t>Neon free tier: limite de almacenamiento vectorial a monitorear.</w:t>
      </w:r>
    </w:p>
    <w:p>
      <w:pPr>
        <w:pStyle w:val="ListBullet"/>
        <w:spacing w:after="40"/>
        <w:ind w:left="340"/>
      </w:pPr>
      <w:r>
        <w:rPr>
          <w:sz w:val="22"/>
        </w:rPr>
        <w:t>Costo de embeddings: indexacion completa solo se ejecuta bajo demanda (no automática en v1.0).</w:t>
      </w:r>
    </w:p>
    <w:p>
      <w:pPr>
        <w:pStyle w:val="Heading2"/>
      </w:pPr>
      <w:r>
        <w:t>7.2 Asunciones de negocio</w:t>
      </w:r>
    </w:p>
    <w:p>
      <w:pPr>
        <w:pStyle w:val="ListBullet"/>
        <w:spacing w:after="40"/>
        <w:ind w:left="340"/>
      </w:pPr>
      <w:r>
        <w:rPr>
          <w:sz w:val="22"/>
        </w:rPr>
        <w:t>Los usuarios tienen rol autenticado (no se permite uso anonimo).</w:t>
      </w:r>
    </w:p>
    <w:p>
      <w:pPr>
        <w:pStyle w:val="ListBullet"/>
        <w:spacing w:after="40"/>
        <w:ind w:left="340"/>
      </w:pPr>
      <w:r>
        <w:rPr>
          <w:sz w:val="22"/>
        </w:rPr>
        <w:t>El corpus inicial (Ley + manuales) es mantenido por el equipo Custodio.</w:t>
      </w:r>
    </w:p>
    <w:p>
      <w:pPr>
        <w:pStyle w:val="ListBullet"/>
        <w:spacing w:after="40"/>
        <w:ind w:left="340"/>
      </w:pPr>
      <w:r>
        <w:rPr>
          <w:sz w:val="22"/>
        </w:rPr>
        <w:t>El LLM no entrega consejo legal profesional: derivados a abogado si la consulta lo requiere.</w:t>
      </w:r>
    </w:p>
    <w:p>
      <w:pPr>
        <w:pStyle w:val="Heading1"/>
      </w:pPr>
      <w:r>
        <w:t>8. Métricas de exito (KPIs)</w:t>
      </w:r>
    </w:p>
    <w:p>
      <w:pPr>
        <w:spacing w:before="80" w:after="40"/>
      </w:pPr>
      <w:r>
        <w:rPr>
          <w:b/>
          <w:i/>
          <w:color w:val="1B5E20"/>
          <w:sz w:val="18"/>
        </w:rPr>
        <w:t xml:space="preserve">Tabla 4 — </w:t>
      </w:r>
      <w:r>
        <w:rPr>
          <w:i/>
          <w:color w:val="404040"/>
          <w:sz w:val="18"/>
        </w:rPr>
        <w:t>KPIs del Asesor v1.0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ID</w:t>
            </w:r>
          </w:p>
        </w:tc>
        <w:tc>
          <w:tcPr>
            <w:tcW w:type="dxa" w:w="3685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Métrica</w:t>
            </w:r>
          </w:p>
        </w:tc>
        <w:tc>
          <w:tcPr>
            <w:tcW w:type="dxa" w:w="2551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Objetivo</w:t>
            </w:r>
          </w:p>
        </w:tc>
        <w:tc>
          <w:tcPr>
            <w:tcW w:type="dxa" w:w="2602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Frecuencia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KPI-01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Latencia P95 de respuesta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&lt; 5 segundos</w:t>
            </w:r>
          </w:p>
        </w:tc>
        <w:tc>
          <w:tcPr>
            <w:tcW w:type="dxa" w:w="2602"/>
            <w:vAlign w:val="top"/>
          </w:tcPr>
          <w:p>
            <w:r/>
            <w:r>
              <w:rPr>
                <w:sz w:val="20"/>
              </w:rPr>
              <w:t>Medicion continua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KPI-02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Consultas con &gt;= 1 cita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&gt;= 95%</w:t>
            </w:r>
          </w:p>
        </w:tc>
        <w:tc>
          <w:tcPr>
            <w:tcW w:type="dxa" w:w="2602"/>
            <w:vAlign w:val="top"/>
          </w:tcPr>
          <w:p>
            <w:r/>
            <w:r>
              <w:rPr>
                <w:sz w:val="20"/>
              </w:rPr>
              <w:t>Medicion diaria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KPI-03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Tasa de fallback al chat generico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&lt;= 20%</w:t>
            </w:r>
          </w:p>
        </w:tc>
        <w:tc>
          <w:tcPr>
            <w:tcW w:type="dxa" w:w="2602"/>
            <w:vAlign w:val="top"/>
          </w:tcPr>
          <w:p>
            <w:r/>
            <w:r>
              <w:rPr>
                <w:sz w:val="20"/>
              </w:rPr>
              <w:t>Medicion semanal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KPI-04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Usuarios activos que usan el Asesor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&gt;= 40% en primer mes</w:t>
            </w:r>
          </w:p>
        </w:tc>
        <w:tc>
          <w:tcPr>
            <w:tcW w:type="dxa" w:w="2602"/>
            <w:vAlign w:val="top"/>
          </w:tcPr>
          <w:p>
            <w:r/>
            <w:r>
              <w:rPr>
                <w:sz w:val="20"/>
              </w:rPr>
              <w:t>Medicion mensual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KPI-05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Chunks indexados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&gt;= 200 (Ley + manuales)</w:t>
            </w:r>
          </w:p>
        </w:tc>
        <w:tc>
          <w:tcPr>
            <w:tcW w:type="dxa" w:w="2602"/>
            <w:vAlign w:val="top"/>
          </w:tcPr>
          <w:p>
            <w:r/>
            <w:r>
              <w:rPr>
                <w:sz w:val="20"/>
              </w:rPr>
              <w:t>Verificar tras indexar</w:t>
            </w:r>
          </w:p>
        </w:tc>
      </w:tr>
    </w:tbl>
    <w:p>
      <w:pPr>
        <w:pStyle w:val="Heading1"/>
      </w:pPr>
      <w:r>
        <w:t>9. Riesgos de producto</w:t>
      </w:r>
    </w:p>
    <w:p>
      <w:pPr>
        <w:spacing w:before="80" w:after="40"/>
      </w:pPr>
      <w:r>
        <w:rPr>
          <w:b/>
          <w:i/>
          <w:color w:val="1B5E20"/>
          <w:sz w:val="18"/>
        </w:rPr>
        <w:t xml:space="preserve">Tabla 5 — </w:t>
      </w:r>
      <w:r>
        <w:rPr>
          <w:i/>
          <w:color w:val="404040"/>
          <w:sz w:val="18"/>
        </w:rPr>
        <w:t>Riesgos de producto del Asesor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ID</w:t>
            </w:r>
          </w:p>
        </w:tc>
        <w:tc>
          <w:tcPr>
            <w:tcW w:type="dxa" w:w="1417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Severidad</w:t>
            </w:r>
          </w:p>
        </w:tc>
        <w:tc>
          <w:tcPr>
            <w:tcW w:type="dxa" w:w="3685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Descripción</w:t>
            </w:r>
          </w:p>
        </w:tc>
        <w:tc>
          <w:tcPr>
            <w:tcW w:type="dxa" w:w="3736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Mitigacion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R-01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Alucinaciones del LLM que contradigan la ley.</w:t>
            </w:r>
          </w:p>
        </w:tc>
        <w:tc>
          <w:tcPr>
            <w:tcW w:type="dxa" w:w="3736"/>
            <w:vAlign w:val="top"/>
          </w:tcPr>
          <w:p>
            <w:r/>
            <w:r>
              <w:rPr>
                <w:sz w:val="20"/>
              </w:rPr>
              <w:t>Prompt con cita obligatoria + threshold de similitud mínimo.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R-02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Endpoint de embeddings MiniMax no disponible.</w:t>
            </w:r>
          </w:p>
        </w:tc>
        <w:tc>
          <w:tcPr>
            <w:tcW w:type="dxa" w:w="3736"/>
            <w:vAlign w:val="top"/>
          </w:tcPr>
          <w:p>
            <w:r/>
            <w:r>
              <w:rPr>
                <w:sz w:val="20"/>
              </w:rPr>
              <w:t>Fallback automático a OpenAI documentado y testeado.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R-03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Adopcion baja por usuarios.</w:t>
            </w:r>
          </w:p>
        </w:tc>
        <w:tc>
          <w:tcPr>
            <w:tcW w:type="dxa" w:w="3736"/>
            <w:vAlign w:val="top"/>
          </w:tcPr>
          <w:p>
            <w:r/>
            <w:r>
              <w:rPr>
                <w:sz w:val="20"/>
              </w:rPr>
              <w:t>OnboardingChecklist incluye paso 'Probar el Asesor' en v1.1.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R-04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Costos de embeddings por reindex excesivo.</w:t>
            </w:r>
          </w:p>
        </w:tc>
        <w:tc>
          <w:tcPr>
            <w:tcW w:type="dxa" w:w="3736"/>
            <w:vAlign w:val="top"/>
          </w:tcPr>
          <w:p>
            <w:r/>
            <w:r>
              <w:rPr>
                <w:sz w:val="20"/>
              </w:rPr>
              <w:t>Indexacion idempotente por hash (solo chunks nuevos).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R-05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Branding del Asesor confunde con producto separado.</w:t>
            </w:r>
          </w:p>
        </w:tc>
        <w:tc>
          <w:tcPr>
            <w:tcW w:type="dxa" w:w="3736"/>
            <w:vAlign w:val="top"/>
          </w:tcPr>
          <w:p>
            <w:r/>
            <w:r>
              <w:rPr>
                <w:sz w:val="20"/>
              </w:rPr>
              <w:t>UI clarifica 'Modulo Asesor de Custodio' en cada pagina.</w:t>
            </w:r>
          </w:p>
        </w:tc>
      </w:tr>
    </w:tbl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縎e debe permitir que empresas suban sus propios documentos al corpus? (v1.1 vs v2.0)</w:t>
      </w:r>
    </w:p>
    <w:p>
      <w:pPr>
        <w:pStyle w:val="ListBullet"/>
        <w:spacing w:after="40"/>
        <w:ind w:left="340"/>
      </w:pPr>
      <w:r>
        <w:rPr>
          <w:sz w:val="22"/>
        </w:rPr>
        <w:t>緾ual es el costo máximo aceptable por mes de embeddings+LLM en produccion?</w:t>
      </w:r>
    </w:p>
    <w:p>
      <w:pPr>
        <w:pStyle w:val="ListBullet"/>
        <w:spacing w:after="40"/>
        <w:ind w:left="340"/>
      </w:pPr>
      <w:r>
        <w:rPr>
          <w:sz w:val="22"/>
        </w:rPr>
        <w:t>緿ebe el Asesor poder sugerir acciones en la UI (ej: 'Crear RAT ahora')?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B5E20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Alucinaciones del LLM sobre la ley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Endpoint embeddings MiniMax no disponible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Adopcion baja por usuarios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R-04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Costos de embeddings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R-05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Confusion de branding con producto separado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RAG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Retrieval-Augmented Generation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Arquitectura que combina recuperacion de documentos con generación de texto.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pgvector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Extension de PostgreSQL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Soporte nativo de vectores y busqueda por similitud en Neon.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Embedding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Vector numerico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Representacion densa (1536 dim) de un texto para busqueda semantica.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Top-k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k resultados mas similares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Parametro de retrieval: cantidad de chunks a pasar al LLM.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Asesor (RAG)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Vision y Alcance del Asesor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B5E20"/>
            </w:pBdr>
          </w:pPr>
          <w:r>
            <w:rPr>
              <w:b/>
              <w:color w:val="1B5E20"/>
              <w:sz w:val="18"/>
            </w:rPr>
            <w:t xml:space="preserve">▣  CUSTODIO ASESOR  </w:t>
          </w:r>
          <w:r>
            <w:rPr>
              <w:color w:val="404040"/>
              <w:sz w:val="18"/>
            </w:rPr>
            <w:t>·  Vision y Alcance del Asesor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v1.0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B5E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