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ASES-DOC-07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DESPLIEGUE Y MANUAL TECNICO</w:t>
      </w:r>
    </w:p>
    <w:p>
      <w:pPr>
        <w:spacing w:after="480"/>
        <w:jc w:val="center"/>
      </w:pPr>
      <w:r>
        <w:rPr>
          <w:i/>
          <w:color w:val="2E7D32"/>
          <w:sz w:val="28"/>
        </w:rPr>
        <w:t>Setup, variables de entorno, troubleshooting y operacion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Despliegue y 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Requisitos previos</w:t>
      </w:r>
    </w:p>
    <w:p>
      <w:pPr>
        <w:pStyle w:val="ListBullet"/>
        <w:spacing w:after="40"/>
        <w:ind w:left="340"/>
      </w:pPr>
      <w:r>
        <w:rPr>
          <w:sz w:val="22"/>
        </w:rPr>
        <w:t>Python 3.9+ (recomendado 3.11).</w:t>
      </w:r>
    </w:p>
    <w:p>
      <w:pPr>
        <w:pStyle w:val="ListBullet"/>
        <w:spacing w:after="40"/>
        <w:ind w:left="340"/>
      </w:pPr>
      <w:r>
        <w:rPr>
          <w:sz w:val="22"/>
        </w:rPr>
        <w:t>PostgreSQL 14+ con la extension pgvector instalada (Neon ya la soporta).</w:t>
      </w:r>
    </w:p>
    <w:p>
      <w:pPr>
        <w:pStyle w:val="ListBullet"/>
        <w:spacing w:after="40"/>
        <w:ind w:left="340"/>
      </w:pPr>
      <w:r>
        <w:rPr>
          <w:sz w:val="22"/>
        </w:rPr>
        <w:t>Acceso a MiniMax o OpenAI para embeddings + LLM.</w:t>
      </w:r>
    </w:p>
    <w:p>
      <w:pPr>
        <w:pStyle w:val="ListBullet"/>
        <w:spacing w:after="40"/>
        <w:ind w:left="340"/>
      </w:pPr>
      <w:r>
        <w:rPr>
          <w:sz w:val="22"/>
        </w:rPr>
        <w:t>Backend de Custodio RAT Manager funcionando (puerto 8002 en local).</w:t>
      </w:r>
    </w:p>
    <w:p>
      <w:pPr>
        <w:pStyle w:val="Heading1"/>
      </w:pPr>
      <w:r>
        <w:t>2. Variables de entorno</w:t>
      </w:r>
    </w:p>
    <w:p>
      <w:r>
        <w:rPr>
          <w:sz w:val="22"/>
        </w:rPr>
        <w:t>Las variables del Asesor usan el prefijo ASESOR_*. Se anaden al archivo backend/.env (local) o a las variables de Vercel (produccion).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Variables de entorno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Variable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Default</w:t>
            </w:r>
          </w:p>
        </w:tc>
        <w:tc>
          <w:tcPr>
            <w:tcW w:type="dxa" w:w="3736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ASESOR_CORPUS_PATH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data/asesor_corpus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Carpeta raiz del corpus indexable.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ASESOR_CHUNK_SIZE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Tamano de chunk en tokens.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ASESOR_CHUNK_OVERLAP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Overlap entre chunks consecutivos.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ASESOR_TOP_K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Cantidad de chunks a recuperar por consulta.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ASESOR_MIN_SIMILARITY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0.7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Threshold de cosine similarity (0-1).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ASESOR_LLM_MAX_TOKENS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1000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Max tokens de la respuesta del LLM.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ASESOR_LLM_TEMPERATURE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0.3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Temperatura del LLM (0=determinista, 1=creativo).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MINIMAX_EMBEDDING_MODEL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embo-01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Modelo de embeddings de MiniMax.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OPENAI_EMBEDDING_MODEL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text-embedding-3-small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Modelo de embeddings de OpenAI (fallback).</w:t>
            </w:r>
          </w:p>
        </w:tc>
      </w:tr>
    </w:tbl>
    <w:p>
      <w:pPr>
        <w:pStyle w:val="Heading1"/>
      </w:pPr>
      <w:r>
        <w:t>3. Instalacion</w:t>
      </w:r>
    </w:p>
    <w:p>
      <w:pPr>
        <w:pStyle w:val="Heading2"/>
      </w:pPr>
      <w:r>
        <w:t>3.1 Dependencias nuevas en requirements.txt</w:t>
      </w:r>
    </w:p>
    <w:p>
      <w:r>
        <w:rPr>
          <w:sz w:val="22"/>
        </w:rPr>
        <w:t>Anadir al archivo backend/requirements.txt: pgvector, tiktoken, pypdf, numpy. Luego correr pip install -r requirements.txt.</w:t>
      </w:r>
    </w:p>
    <w:p>
      <w:pPr>
        <w:pStyle w:val="Heading2"/>
      </w:pPr>
      <w:r>
        <w:t>3.2 Activar pgvector en Neon</w:t>
      </w:r>
    </w:p>
    <w:p>
      <w:r>
        <w:rPr>
          <w:sz w:val="22"/>
        </w:rPr>
        <w:t>En la consola SQL de Neon (o via psql): CREATE EXTENSION IF NOT EXISTS vector;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Verificar primero.  </w:t>
      </w:r>
      <w:r>
        <w:rPr>
          <w:color w:val="404040"/>
          <w:sz w:val="20"/>
        </w:rPr>
        <w:t>Si la extension ya esta habilitada, el comando no hace nada. Si la cuenta Neon free tier no la incluye, migrar a plan Pro.</w:t>
      </w:r>
    </w:p>
    <w:p>
      <w:pPr>
        <w:pStyle w:val="Heading2"/>
      </w:pPr>
      <w:r>
        <w:t>3.3 Crear tabla asesor_chunks</w:t>
      </w:r>
    </w:p>
    <w:p>
      <w:r>
        <w:rPr>
          <w:sz w:val="22"/>
        </w:rPr>
        <w:t>Aplicar la migracion del Asesor: alembic upgrade head.</w:t>
      </w:r>
    </w:p>
    <w:p>
      <w:pPr>
        <w:pStyle w:val="Heading2"/>
      </w:pPr>
      <w:r>
        <w:t>3.4 Copiar el corpus inicial</w:t>
      </w:r>
    </w:p>
    <w:p>
      <w:r>
        <w:rPr>
          <w:sz w:val="22"/>
        </w:rPr>
        <w:t>El corpus se mantiene en backend/asesor_corpus/ (gitignored). Copiar los archivos de la ley y manuales desde paso/ley_21719/ y docs/manuales/.</w:t>
      </w:r>
    </w:p>
    <w:p>
      <w:pPr>
        <w:pStyle w:val="Heading1"/>
      </w:pPr>
      <w:r>
        <w:t>4. Operacion del Asesor</w:t>
      </w:r>
    </w:p>
    <w:p>
      <w:pPr>
        <w:pStyle w:val="Heading2"/>
      </w:pPr>
      <w:r>
        <w:t>4.1 Indexar el corpus por primera vez</w:t>
      </w:r>
    </w:p>
    <w:p>
      <w:r>
        <w:rPr>
          <w:sz w:val="22"/>
        </w:rPr>
        <w:t>Desde la UI: ir a /admin/asesor y click en 'Indexar corpus'.</w:t>
      </w:r>
    </w:p>
    <w:p>
      <w:r>
        <w:rPr>
          <w:sz w:val="22"/>
        </w:rPr>
        <w:t>Desde la API: POST /admin/asesor/index con token de superadmin.</w:t>
      </w:r>
    </w:p>
    <w:p>
      <w:pPr>
        <w:pStyle w:val="Heading2"/>
      </w:pPr>
      <w:r>
        <w:t>4.2 Ver estadisticas</w:t>
      </w:r>
    </w:p>
    <w:p>
      <w:r>
        <w:rPr>
          <w:sz w:val="22"/>
        </w:rPr>
        <w:t>GET /admin/asesor/stats retorna cobertura del corpus.</w:t>
      </w:r>
    </w:p>
    <w:p>
      <w:pPr>
        <w:pStyle w:val="Heading2"/>
      </w:pPr>
      <w:r>
        <w:t>4.3 Eliminar un chunk del índice</w:t>
      </w:r>
    </w:p>
    <w:p>
      <w:r>
        <w:rPr>
          <w:sz w:val="22"/>
        </w:rPr>
        <w:t>DELETE /admin/asesor/documents/{id} (requiere superadmin).</w:t>
      </w:r>
    </w:p>
    <w:p>
      <w:pPr>
        <w:pStyle w:val="Heading1"/>
      </w:pPr>
      <w:r>
        <w:t>5. Troubleshooting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Problemas frecuentes y soluciones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Sintoma</w:t>
            </w:r>
          </w:p>
        </w:tc>
        <w:tc>
          <w:tcPr>
            <w:tcW w:type="dxa" w:w="34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Causa probable</w:t>
            </w:r>
          </w:p>
        </w:tc>
        <w:tc>
          <w:tcPr>
            <w:tcW w:type="dxa" w:w="4303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Solucion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503 al consultar /asesor/ask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No hay MINIMAX_API_KEY ni OPENAI_API_KEY configuradas.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Definir al menos una en backend/.env o en Vercel.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Respuestas sin fuentes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Corpus no indexado o min_similarity muy alto.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Reindexar via POST /admin/asesor/index. Bajar ASESOR_MIN_SIMILARITY a 0.6.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Latencia &gt; 10 segundos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Embeddings lentos por provider o corpus &gt; 5k chunks.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Evaluar pgvector + index ivfflat. Reducir ASESOR_TOP_K a 3.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Error al reindexar: 'No existe archivo'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Path en ASESOR_CORPUS_PATH no accesible.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Verificar que la ruta existe y tiene permisos de lectura.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MiniMax embeddings retorna 404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El endpoint /v1/embeddings no esta disponible en MiniMax.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El sistema hace fallback automático a OpenAI. Si no hay OpenAI, configurar uno.</w:t>
            </w:r>
          </w:p>
        </w:tc>
      </w:tr>
    </w:tbl>
    <w:p>
      <w:pPr>
        <w:pStyle w:val="Heading1"/>
      </w:pPr>
      <w:r>
        <w:t>6. Estimacion de costos operacionales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Costos estimados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Item</w:t>
            </w:r>
          </w:p>
        </w:tc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Frecuencia</w:t>
            </w:r>
          </w:p>
        </w:tc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Costo unitario aprox</w:t>
            </w:r>
          </w:p>
        </w:tc>
        <w:tc>
          <w:tcPr>
            <w:tcW w:type="dxa" w:w="231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Costo mensual aprox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Embeddings (indexacion inicial 200 chunks)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Una vez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USD 0.02</w:t>
            </w:r>
          </w:p>
        </w:tc>
        <w:tc>
          <w:tcPr>
            <w:tcW w:type="dxa" w:w="2319"/>
            <w:vAlign w:val="top"/>
          </w:tcPr>
          <w:p>
            <w:r/>
            <w:r>
              <w:rPr>
                <w:sz w:val="20"/>
              </w:rPr>
              <w:t>USD 0.02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Embeddings (consulta)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Por consulta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USD 0.0001</w:t>
            </w:r>
          </w:p>
        </w:tc>
        <w:tc>
          <w:tcPr>
            <w:tcW w:type="dxa" w:w="2319"/>
            <w:vAlign w:val="top"/>
          </w:tcPr>
          <w:p>
            <w:r/>
            <w:r>
              <w:rPr>
                <w:sz w:val="20"/>
              </w:rPr>
              <w:t>USD 3.00 (1k cons/mes)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LLM (consulta, ~500 tokens)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Por consulta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USD 0.0015</w:t>
            </w:r>
          </w:p>
        </w:tc>
        <w:tc>
          <w:tcPr>
            <w:tcW w:type="dxa" w:w="2319"/>
            <w:vAlign w:val="top"/>
          </w:tcPr>
          <w:p>
            <w:r/>
            <w:r>
              <w:rPr>
                <w:sz w:val="20"/>
              </w:rPr>
              <w:t>USD 45.00 (1k cons/mes)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PostgreSQL (Neon free)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Continuo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USD 0</w:t>
            </w:r>
          </w:p>
        </w:tc>
        <w:tc>
          <w:tcPr>
            <w:tcW w:type="dxa" w:w="2319"/>
            <w:vAlign w:val="top"/>
          </w:tcPr>
          <w:p>
            <w:r/>
            <w:r>
              <w:rPr>
                <w:sz w:val="20"/>
              </w:rPr>
              <w:t>USD 0</w:t>
            </w:r>
          </w:p>
        </w:tc>
      </w:tr>
    </w:tbl>
    <w:p>
      <w:pPr>
        <w:pBdr>
          <w:top w:val="single" w:sz="16" w:space="4" w:color="2E7D32"/>
          <w:left w:val="single" w:sz="16" w:space="4" w:color="2E7D32"/>
          <w:bottom w:val="single" w:sz="16" w:space="4" w:color="2E7D32"/>
          <w:right w:val="single" w:sz="16" w:space="4" w:color="2E7D32"/>
        </w:pBdr>
        <w:shd w:val="clear" w:color="auto" w:fill="EDF7E5"/>
        <w:spacing w:before="80" w:after="80"/>
        <w:ind w:left="113" w:right="113"/>
      </w:pPr>
      <w:r>
        <w:rPr>
          <w:b/>
          <w:color w:val="1B5E20"/>
          <w:sz w:val="20"/>
        </w:rPr>
        <w:t xml:space="preserve">ℹ  Costos aproximados.  </w:t>
      </w:r>
      <w:r>
        <w:rPr>
          <w:color w:val="404040"/>
          <w:sz w:val="20"/>
        </w:rPr>
        <w:t>Los costos son estimaciones a Junio 2026. Varillan segun el modelo LLM usado (MiniMax vs OpenAI) y el volumen de consultas. Reevaluar trimestralmente.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縎e debe ofrecer una opcion de BYO-LLM (bring your own LLM) en v2.0?</w:t>
      </w:r>
    </w:p>
    <w:p>
      <w:pPr>
        <w:pStyle w:val="ListBullet"/>
        <w:spacing w:after="40"/>
        <w:ind w:left="340"/>
      </w:pPr>
      <w:r>
        <w:rPr>
          <w:sz w:val="22"/>
        </w:rPr>
        <w:t>緾uando migrar a pgvector nativo?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 de embeddings+LLM puede exceder presupuesto si hay spam de consultas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Dependencia de proveedor externo (MiniMax u OpenAI)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Restriccion operacional o de calidad.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Despliegue y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Despliegue y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