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TÉCNICO</w:t>
      </w:r>
    </w:p>
    <w:p>
      <w:pPr>
        <w:spacing w:after="480"/>
        <w:jc w:val="center"/>
      </w:pPr>
      <w:r>
        <w:rPr>
          <w:i/>
          <w:color w:val="2E74B5"/>
          <w:sz w:val="28"/>
        </w:rPr>
        <w:t>Arquitectura, stack y guía de despliegue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manual técnico.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_Agregado modelo Feriado, ruta CRUD, SQLAlchemy 2.0 unificado, nueva sección de deuda técnica._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Manual técnico de Custodio RAT Manager. Este documento describe la arquitectura, stack tecnológico, modelo de datos y guía de despliegue.</w:t>
      </w:r>
    </w:p>
    <w:p>
      <w:pPr>
        <w:pStyle w:val="Heading1"/>
      </w:pPr>
      <w:r>
        <w:t>2. Stack tecnológico (v1.2)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Componente</w:t>
            </w:r>
          </w:p>
        </w:tc>
        <w:tc>
          <w:tcPr>
            <w:tcW w:type="dxa" w:w="708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Tecnología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FastAPI 0.115 + Python 3.11 + Uvicorn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ORM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SQLAlchemy 2.0+ (unificado en todos los modelos)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DB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PostgreSQL 15+ (Neon en producción)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Next.js 14 + TypeScript + Tailwind CSS 3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Auth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JWT (python-jose) + cookies httpOnly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Validación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Pydantic v2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Testing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pytest + httpx + Playwright</w:t>
            </w:r>
          </w:p>
        </w:tc>
      </w:tr>
    </w:tbl>
    <w:p>
      <w:pPr>
        <w:pStyle w:val="Heading1"/>
      </w:pPr>
      <w:r>
        <w:t>3. Modelo de datos — Feriado (NUEVO v1.2)</w:t>
      </w:r>
    </w:p>
    <w:p>
      <w:r>
        <w:rPr>
          <w:sz w:val="22"/>
        </w:rPr>
        <w:t>_Nuevo modelo agregado en auditoría v1.2 para gestión de feriados nacionales chilenos._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Campo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PK, autoincrement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Fecha del feriado, único por año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nombre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String(200)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Nombre del feriado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Enum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NACIONAL, REGIONAL, RELIGIOSO, CIVICO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company_id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FK a companies (nullable para feriados nacionales)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created_at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DateTime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Timestamp de creación</w:t>
            </w:r>
          </w:p>
        </w:tc>
      </w:tr>
    </w:tbl>
    <w:p>
      <w:pPr>
        <w:pStyle w:val="Heading1"/>
      </w:pPr>
      <w:r>
        <w:t>4. Rutas — Módulo Feriados (v1.2)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/admin/feriados/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Lista feriados filtrados por año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/admin/feriados/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Crea feriado individual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/admin/feriados/{id}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Elimina feriado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/admin/feriados/upload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Upload bulk CSV UTF-8 BOM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/admin/feriados/export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Exporta feriados como CSV</w:t>
            </w:r>
          </w:p>
        </w:tc>
      </w:tr>
    </w:tbl>
    <w:p>
      <w:pPr>
        <w:pStyle w:val="Heading1"/>
      </w:pPr>
      <w:r>
        <w:t>5. Cambios SQLAlchemy 2.0 (v1.2)</w:t>
      </w:r>
    </w:p>
    <w:p>
      <w:r>
        <w:rPr>
          <w:sz w:val="22"/>
        </w:rPr>
        <w:t>Durante la auditoría v1.2 se migraron 7 modelos a SQLAlchemy 2.0 style: solicitud_derecho, tkt_solicitud_derecho, tkt_adjunto, tkt_historial, tkt_nota, solicitud_historial. Los cambios incluyen: uso de select() en lugar de query(), execution_options(canned_execution=True), y TextClause as_text() para SQL raw.</w:t>
      </w:r>
    </w:p>
    <w:p>
      <w:pPr>
        <w:pStyle w:val="Heading1"/>
      </w:pPr>
      <w:r>
        <w:t>6. Apéndice B — Deuda técnica arquitectura (v1.2)</w:t>
      </w:r>
    </w:p>
    <w:p>
      <w:r>
        <w:rPr>
          <w:sz w:val="22"/>
        </w:rPr>
        <w:t>Hallazgos de la auditoría Arquitectura del 08-Jun-2026: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08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_CRÍTICO_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_Token blacklist no consultado en get_current_user_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_CRÍTICO_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_IDOR en /companies/{id} y /companies/publico_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_CRÍTICO_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_CSV injection en exports_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_ALTO_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Sin patrón Repository — lógica acoplada a routes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_ALTO_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Sin capa de servicios para lógica de negocio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A15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_ALTO_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N+1 queries en listados de rats y breaches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Token blacklist no implementado. Tokens revocados siguen activos.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IDOR en /companies/{id}. Acceso no autorizado a datos de otras empresas.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