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4"/>
        </w:rPr>
        <w:t xml:space="preserve">  ▣  CUSTODIO  ·  CUSTODIO RAT MANAGER  </w:t>
      </w:r>
    </w:p>
    <w:p>
      <w:pPr>
        <w:spacing w:before="720" w:after="120"/>
        <w:jc w:val="center"/>
      </w:pPr>
      <w:r>
        <w:rPr>
          <w:i/>
          <w:color w:val="808080"/>
          <w:sz w:val="22"/>
        </w:rPr>
        <w:t>CUST-DOC-04</w:t>
      </w:r>
    </w:p>
    <w:p/>
    <w:p/>
    <w:p>
      <w:pPr>
        <w:spacing w:after="240"/>
        <w:jc w:val="center"/>
      </w:pPr>
      <w:r>
        <w:rPr>
          <w:b/>
          <w:color w:val="1F497D"/>
          <w:sz w:val="56"/>
        </w:rPr>
        <w:t>CASOS DE USO</w:t>
      </w:r>
    </w:p>
    <w:p>
      <w:pPr>
        <w:spacing w:after="480"/>
        <w:jc w:val="center"/>
      </w:pPr>
      <w:r>
        <w:rPr>
          <w:i/>
          <w:color w:val="2E74B5"/>
          <w:sz w:val="28"/>
        </w:rPr>
        <w:t>Especificación formal de interacciones actor-sistema</w:t>
      </w:r>
    </w:p>
    <w:p/>
    <w:p/>
    <w:p>
      <w:pPr>
        <w:jc w:val="center"/>
        <w:pBdr>
          <w:bottom w:val="single" w:sz="12" w:space="1" w:color="2E74B5"/>
        </w:pBdr>
      </w:pPr>
      <w:r>
        <w:rPr>
          <w:sz w:val="4"/>
        </w:rPr>
        <w:t xml:space="preserve">  </w:t>
      </w:r>
    </w:p>
    <w:p/>
    <w:p/>
    <w:p>
      <w:pPr>
        <w:spacing w:after="40"/>
        <w:jc w:val="center"/>
      </w:pPr>
      <w:r>
        <w:rPr>
          <w:b/>
          <w:color w:val="1F497D"/>
          <w:sz w:val="22"/>
        </w:rPr>
        <w:t xml:space="preserve">Versión:  </w:t>
      </w:r>
      <w:r>
        <w:rPr>
          <w:color w:val="404040"/>
          <w:sz w:val="22"/>
        </w:rPr>
        <w:t>v1.10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Fecha de emisión:  </w:t>
      </w:r>
      <w:r>
        <w:rPr>
          <w:color w:val="404040"/>
          <w:sz w:val="22"/>
        </w:rPr>
        <w:t>Junio 2026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Autor:  </w:t>
      </w:r>
      <w:r>
        <w:rPr>
          <w:color w:val="404040"/>
          <w:sz w:val="22"/>
        </w:rPr>
        <w:t>Equipo de Desarrollo — Custodio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Empresa responsable:  </w:t>
      </w:r>
      <w:r>
        <w:rPr>
          <w:color w:val="404040"/>
          <w:sz w:val="22"/>
        </w:rPr>
        <w:t>Custodio SpA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Clasificación:  </w:t>
      </w:r>
      <w:r>
        <w:rPr>
          <w:color w:val="404040"/>
          <w:sz w:val="22"/>
        </w:rPr>
        <w:t>Interno — Confidencial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Producto:  </w:t>
      </w:r>
      <w:r>
        <w:rPr>
          <w:color w:val="404040"/>
          <w:sz w:val="22"/>
        </w:rPr>
        <w:t>Custodio RAT Manager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Marco regulatorio:  </w:t>
      </w:r>
      <w:r>
        <w:rPr>
          <w:color w:val="404040"/>
          <w:sz w:val="22"/>
        </w:rPr>
        <w:t>Ley N.° 21.719 — Chile</w:t>
      </w:r>
    </w:p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0"/>
        </w:rPr>
        <w:t xml:space="preserve">  CUMPLIMIENTO DE LA LEY 21.719 DE PROTECCIÓN DE DATOS PERSONALES DE CHILE  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F497D"/>
          </w:tcPr>
          <w:p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417"/>
            <w:shd w:val="clear" w:color="auto" w:fill="1F497D"/>
          </w:tcPr>
          <w:p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701"/>
            <w:shd w:val="clear" w:color="auto" w:fill="1F497D"/>
          </w:tcPr>
          <w:p>
            <w:r/>
            <w:r>
              <w:rPr>
                <w:b/>
                <w:color w:val="FFFFFF"/>
              </w:rPr>
              <w:t>Autor</w:t>
            </w:r>
          </w:p>
        </w:tc>
        <w:tc>
          <w:tcPr>
            <w:tcW w:type="dxa" w:w="6004"/>
            <w:shd w:val="clear" w:color="auto" w:fill="1F497D"/>
          </w:tcPr>
          <w:p>
            <w:r/>
            <w:r>
              <w:rPr>
                <w:b/>
                <w:color w:val="FFFFFF"/>
              </w:rPr>
              <w:t>Cambios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Creación inicial del documento de casos de uso.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Auditoría técnica: CU-033 a CU-038 para Consentimientos y Tickets ARCO.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_Auditoría v1.2: módulo Feriados (CU-039 a CU-042), fixes P0 (blacklist, IDOR, CSV)._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_Beta Launch: RBAC fixes DT-014/DT-015 (CU-043/CU-044), /health (CU-045), EIPD (CU-047), consentimientos (CU-046)._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_Post-OCI: descarga con fallback chain (CU-048), Admin Asesor IA (CU-049/CU-050)._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_Seguridad: CSRF (CU-051), Encryption at Rest (CU-052), Service Layer (CU-053), Schemas Pydantic (CU-054)._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1.6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_UI/UX: RatDetailModal (CU-055), Drawer responsive (CU-056), Dashboard clickable (CU-057), Sort estable (CU-058)._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1.7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Sprint 1: FORMADMIN ARCO (CU-059 a CU-063). Sprint 2: SLA Alert + Export ARCO (CU-064 a CU-068).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1.8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_Iter 11: 15 campos Tier 1+Tier 2 RAT (CU-069 a CU-071). Iter 12: 9 fixes CRITICOS+ALTOS (CU-072 a CU-077)._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1.9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Julio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  <w:u w:val="single"/>
              </w:rPr>
              <w:t>_IDOR multi-tenant en 6 endpoints RAT (CU-078). base_legal_valida strict (CU-079). ConsentimientoAlert (CU-080). Homologación orden campos (CU-081). PDF títulos sección (CU-082)._</w:t>
            </w:r>
          </w:p>
        </w:tc>
      </w:tr>
    </w:tbl>
    <w:p/>
    <w:p>
      <w:pPr>
        <w:pStyle w:val="Heading2"/>
      </w:pPr>
      <w:r>
        <w:t>Estado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r/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86"/>
            <w:shd w:val="clear" w:color="auto" w:fill="1F497D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Nombre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Casos de Uso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Producto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Custodio RAT Manager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Marco regulatorio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Ley N.° 21.719 de Protección de Datos Personales (Chile)</w:t>
            </w:r>
          </w:p>
        </w:tc>
      </w:tr>
    </w:tbl>
    <w:p>
      <w:r>
        <w:br w:type="page"/>
      </w:r>
    </w:p>
    <w:p>
      <w:pPr>
        <w:pStyle w:val="Heading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808080"/>
          <w:sz w:val="18"/>
        </w:rPr>
        <w:t>Sugerencia: en Microsoft Word, presione F9 sobre la tabla para actualizar el contenido y los números de página.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rPr>
          <w:sz w:val="22"/>
        </w:rPr>
        <w:t>Este Documento especifica los casos de uso de Custodio RAT Manager en formato formal. Cada CU incluye: identificador (CU-###), nombre, actores, precondiciones, flujo principal, flujos alternativos y resultado esperado.</w:t>
      </w:r>
    </w:p>
    <w:p>
      <w:pPr>
        <w:pStyle w:val="Heading1"/>
      </w:pPr>
      <w:r>
        <w:t>2. Listado de casos de uso nuevos (v1.10)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5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Nombre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Actores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Trazabilidad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Endpoint/Flujo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CU-069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Registrar 15 campos Tier 1+Tier 2 en RAT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AC-02/03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RF-141 a RF-155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PUT /rats/{id}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CU-070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BYTEA limitado a 10MB en archivo_base_legal y tkt_adjunto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Sistema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RF-156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CHECK constraint PostgreSQL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CU-071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Test IL validado con mínimo 50 caracteres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AC-02/03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RF-157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PUT /rats/{id} — validación Pydantic + frontend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CU-072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Hash SHA-256 automático de evidencia ARCO al resolver TKT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Sistema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RF-158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PATCH /tkt-solicitud-derecho/{id}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CU-073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causal_rechazo con enum cerrado (7 causales Art. 29 RL)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AC-01/02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RF-159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PATCH /tkt-solicitud-derecho/{id} — dropdown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CU-074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Toggle ARCO con touch target 44x44px (mobile)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AC-05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RF-160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UI: solicitud_derecho/page.tsx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CU-075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Notificación APDC automatizada al crear brecha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Sistema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RF-161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actualizar_brecha() — email_service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CU-076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Notificación a titulares automatizada al cerrar brecha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Sistema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RF-162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actualizar_brecha() — logging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CU-077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TKT no puede resolverse sin evidencia ni hash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AC-01/02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RF-158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PATCH /tkt-solicitud-derecho/{id} — HTTP 400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CU-078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IDOR multi-tenant: empresa no puede acceder a RAT de otra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AC-02/03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RF-163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get_rat_for_user() — retorna 404 en 6 endpoints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CU-079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base_legal_valida strict contra enum taxativo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Sistema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RF-164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base_legal_valida() — 6 opciones válidas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CU-080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ConsentimientoAlert antes de guardar RAT con datos_sensibles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Sistema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RF-165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handleSave() — listarConsentimientos()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CU-081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Homologación orden campos RAT en wizard, drawer y PDF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Sistema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RF-166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RatDetailView + RatEditForm + RatWizard + export_service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/>
                <w:sz w:val="20"/>
              </w:rPr>
              <w:t>CU-082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PDF con títulos de sección y alertas rojas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Sistema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RF-167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export_service — PASOx — IDENTIFICACIÓN con COLOR_PRIMARIO</w:t>
            </w:r>
          </w:p>
        </w:tc>
      </w:tr>
    </w:tbl>
    <w:p>
      <w:pPr>
        <w:pStyle w:val="Heading1"/>
      </w:pPr>
      <w:r>
        <w:t>Apéndice C — Índice de identificadores</w:t>
      </w:r>
    </w:p>
    <w:p>
      <w:r>
        <w:rPr>
          <w:i/>
          <w:sz w:val="22"/>
        </w:rPr>
        <w:t>Identificadores únicos referenciados a lo largo del documento: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Nombre</w:t>
            </w:r>
          </w:p>
        </w:tc>
        <w:tc>
          <w:tcPr>
            <w:tcW w:type="dxa" w:w="5669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CU-###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Caso de Uso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Especificación de interacción actor-sistema.</w:t>
            </w:r>
          </w:p>
        </w:tc>
      </w:tr>
    </w:tbl>
    <w:p/>
    <w:p>
      <w:pPr>
        <w:jc w:val="center"/>
      </w:pPr>
      <w:r>
        <w:rPr>
          <w:i/>
          <w:color w:val="808080"/>
          <w:sz w:val="20"/>
        </w:rPr>
        <w:t>—  Fin del documento 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417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3169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80"/>
              <w:sz w:val="16"/>
            </w:rPr>
            <w:t>Custodio RAT Manager · Ley 21.719</w:t>
          </w:r>
        </w:p>
      </w:tc>
      <w:tc>
        <w:tcPr>
          <w:tcW w:type="dxa" w:w="3169"/>
        </w:tcPr>
        <w:p>
          <w:pPr>
            <w:jc w:val="center"/>
          </w:pPr>
          <w:r>
            <w:rPr>
              <w:color w:val="808080"/>
              <w:sz w:val="16"/>
            </w:rPr>
            <w:t xml:space="preserve">Página </w:t>
          </w:r>
          <w:r>
            <w:rPr>
              <w:color w:val="808080"/>
              <w:sz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808080"/>
              <w:sz w:val="16"/>
            </w:rPr>
            <w:t xml:space="preserve"> de </w:t>
          </w:r>
          <w:r>
            <w:rPr>
              <w:color w:val="808080"/>
              <w:sz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  <w:tc>
        <w:tcPr>
          <w:tcW w:type="dxa" w:w="3402"/>
        </w:tcPr>
        <w:p>
          <w:pPr>
            <w:jc w:val="right"/>
          </w:pPr>
          <w:r>
            <w:rPr>
              <w:color w:val="808080"/>
              <w:sz w:val="16"/>
            </w:rPr>
            <w:t>Interno — Confidencial  ·  Casos de Uso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669"/>
      <w:gridCol w:w="4303"/>
    </w:tblGrid>
    <w:tr>
      <w:tc>
        <w:tcPr>
          <w:tcW w:type="dxa" w:w="5669"/>
        </w:tcPr>
        <w:p>
          <w:pPr>
            <w:jc w:val="left"/>
            <w:pBdr>
              <w:bottom w:val="single" w:sz="6" w:space="1" w:color="1F497D"/>
            </w:pBdr>
          </w:pPr>
          <w:r>
            <w:rPr>
              <w:b/>
              <w:color w:val="1F497D"/>
              <w:sz w:val="18"/>
            </w:rPr>
            <w:t xml:space="preserve">▣  CUSTODIO  </w:t>
          </w:r>
          <w:r>
            <w:rPr>
              <w:color w:val="404040"/>
              <w:sz w:val="18"/>
            </w:rPr>
            <w:t>·  Casos de Uso</w:t>
          </w:r>
        </w:p>
      </w:tc>
      <w:tc>
        <w:tcPr>
          <w:tcW w:type="dxa" w:w="4303"/>
        </w:tcPr>
        <w:p>
          <w:pPr>
            <w:jc w:val="right"/>
          </w:pPr>
          <w:r>
            <w:rPr>
              <w:color w:val="808080"/>
              <w:sz w:val="18"/>
            </w:rPr>
            <w:t>v1.10  ·  Junio 2026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