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CUST-DOC-06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ARQUITECTURA DE SOFTWARE</w:t>
      </w:r>
    </w:p>
    <w:p>
      <w:pPr>
        <w:spacing w:after="480"/>
        <w:jc w:val="center"/>
      </w:pPr>
      <w:r>
        <w:rPr>
          <w:i/>
          <w:color w:val="2E74B5"/>
          <w:sz w:val="28"/>
        </w:rPr>
        <w:t>Diagramas C4, despliegue, secuencias y decisiones técnicas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 la arquitectura.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Token blacklist LRU, hash chain en audit_log, patrón Repository, PII masking, optimización N+1.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_Token blacklist, IDOR protection, CSV sanitize, hash chain, PII masking._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 endpoint (ADR-12), RBAC fixes DT-014/DT-015, router fixes CB-01/CB-02._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con fallback chain (ADR-14), Admin Asesor IA (ADR-15), MiniMax M2.7._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(S14), Encryption at Rest Fernet (C1), Service Layer (A6), Schemas Pydantic (A10)._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(ADR-16), Drawer responsive (ADR-17), Dashboard clickable (ADR-18), useRef stable callbacks._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1: FormADMIN ARCO QW1-QW10 (ADR-19). Sprint 2: Task SLA_ALERT_T2 pattern (ADR-20), Export service (ADR-21), GitHub Actions (ADR-22).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_Iter 11: 15 campos Tier 1+Tier 2 RAT (ADR-23). Iter 12: ADR-24 BYTEA limit 10MB, ADR-25 Test IL min 50chars, ADR-26 Hash SHA-256 auto ARCO, ADR-27 causal_rechazo enum, ADR-28 notificaciones auto brechas._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_IDOR multi-tenant get_rat_for_user() en 6 endpoints (ADR-29). base_legal_valida strict (ADR-30). ConsentimientoAlert (ADR-31). Homologación orden campos RAT (ADR-32). PDF títulos sección (ADR-33)._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Arquitectura de Software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sz w:val="22"/>
        </w:rPr>
        <w:t>Custodio RAT Manager es una aplicación SaaS B2B para gestión del RAT (Ley 21.719). Arquitectura modular, multi-tenant, desplegada en Vercel con Neon PostgreSQL. Backend: FastAPI serverless. Frontend: Next.js 16 con App Router.</w:t>
      </w:r>
    </w:p>
    <w:p>
      <w:r>
        <w:rPr>
          <w:sz w:val="22"/>
        </w:rPr>
        <w:t>_En v1.10 se implementó: BYTEA 10MB limit (DoS protection), Test IL min 50 chars (Art. 16 Ley 21.719), Hash SHA-256 auto ARCO, causal_rechazo enum cerrado (Art. 29 RL), notificaciones auto brechas, toggle 44px mobile accessibility. Score: 6.3/10._</w:t>
      </w:r>
    </w:p>
    <w:p>
      <w:pPr>
        <w:pStyle w:val="Heading1"/>
      </w:pPr>
      <w:r>
        <w:t>2. Decisiones de Arquitectura (ADRs) — Novedades v1.10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Fecha</w:t>
            </w:r>
          </w:p>
        </w:tc>
        <w:tc>
          <w:tcPr>
            <w:tcW w:type="dxa" w:w="595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Decisión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Iter 11: Campos Tier 1+Tier 2 RAT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2026-06-25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Se agregan 15 campos nuevos a rats: datos_nna, nivel_confidencialidad, estructura_dato, datos_anonimizados, datos_seudonimizados, ciclo_procesamiento, automatizacion, frecuencia, transferencia_nacional, doc_clausulas, medidas_organizativas, mecanismos_eliminacion, tecnica_anonimizacion, origen_dato_portabilidad, fecha_levantamiento. Modelos SQLAlchemy actualizados, schemas Pydantic, migraciones SQL.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CRÍTICO: BYTEA 10MB limit (DoS protection)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2026-06-26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CHECK constraint octet_length &lt;= 10_000_000 en rats.archivo_base_legal_datos y tkt_adjuntos.data. LargeBinary(10_000_000) en SQLAlchemy. Aplica a archivo_base_legal (RAT) y tkt_adjunto.data (ARCO).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CRÍTICO: Test IL mínimo 50 caracteres (Art. 16 Ley 21.719)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2026-06-26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Pydantic Field(min_length=50) en test_interes_legitimo. RatWizard y RatEditForm validan en frontend con toast error. AlertBanner obligatorio en UI.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CRÍTICO: Hash SHA-256 automático evidencia ARCO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2026-06-26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PATCH /tkt-solicitud-derecho/{id} computa SHA-256 de todos los adjuntos (tkt_adjuntos) al resolver el ticket. Si no hay adjuntos ni respuesta_texto, retorna HTTP 400.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ADR-27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ALTO: causal_rechazo enum cerrado (Art. 29 RL)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2026-06-26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CausalRechazoEnum con 7 valores: falta_identidad, solicitud_manifiestamente_infundada, solicitud_excesiva, falta_poder_notorial, plazo_vencido, identidad_no_verificada, otro. Dropdown en TicketDrawer.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ADR-28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ALTO: Notificaciones automatizadas en brechas (Art. 14 bis Ley 21.719)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2026-06-26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actualizar_brecha() envía email al DPO cuando notificado_apdc=true. Logueba cuando notificado_titulares=true (preparado para canal).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ADR-29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CRÍTICO: IDOR multi-tenant en 6 endpoints RAT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2026-07-05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get_rat_for_user() en GET /rats/{id}, PUT /rats/{id}, DELETE /rats/{id}, POST /rats/{id}/revision, POST /rats/{id}/aprobar, GET /rats/{id}/auditoria. Retorna 404 si empresa no coincide, superadmin accede a todos.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ADR-30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ALTO: base_legal_valida strict contra enum taxativo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2026-07-05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Validación contra 6 opciones: consentimiento, interes_legitimo, contrato, obligacion_legal, tarea_publica, interes_publico. Antes siempre retornaba v.strip().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ADR-31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ALTO: ConsentimientoAlert en RatEditForm.handleSave()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2026-07-05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listarConsentimientos(company_id, rat.id, true) antes de guardar. Si datos_sensibles=True y no hay consentimiento activo → toast error y no guarda.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ADR-32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ALTO: Homologación orden campos RAT (5 pasos canónicos)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2026-07-05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RatDetailView, RatEditForm, RatWizard y PDF reordenados: Identificación → Datos tratados → Finalidad y ley → Almacenamiento → Compliance operativo.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ADR-33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MEDIO: PDF con títulos de sección y alertas rojas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2026-07-05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PASO 1 — IDENTIFICACIÓN, PASO 2 — DATOS TRATADOS, etc. con fondo COLOR_PRIMARIO (#1B3A6B) y texto blanco bold. Alertas rojas al final de cada ficha.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ADR-###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Decisión de Arquitectura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Decisión técnica formal que modifica la arquitectura.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Arquitectura de Software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Arquitectura de Software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