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Custodio RAT Manager</w:t>
      </w:r>
    </w:p>
    <w:p/>
    <w:p>
      <w:pPr>
        <w:pStyle w:val="Heading1"/>
        <w:jc w:val="center"/>
      </w:pPr>
      <w:r>
        <w:t>04 — Casos de Uso</w:t>
      </w:r>
    </w:p>
    <w:p>
      <w:pPr>
        <w:jc w:val="center"/>
      </w:pPr>
      <w:r>
        <w:t>Custodio RAT Manager · Ley 21.719</w:t>
      </w:r>
    </w:p>
    <w:p/>
    <w:p>
      <w:pPr>
        <w:jc w:val="center"/>
      </w:pPr>
      <w:r>
        <w:t>Versión: v1.12  ·  Fecha: 24/08/2026</w:t>
        <w:br/>
        <w:t>Ley 21.719 — Protección de Datos Personales de Chile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describe los casos de uso del sistema Custodio RAT Manager en versión v1.12. Cubre 30+ casos de uso incluyendo los nuevos módulos ARCO-QW5/6/7/8, Empresas-QW6 y la detección de titular repetido en el formulario público.</w:t>
      </w:r>
    </w:p>
    <w:p>
      <w:pPr>
        <w:pStyle w:val="Heading1"/>
      </w:pPr>
      <w:r>
        <w:t>1. Casos de Uso Nuevos en v1.12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440"/>
            <w:shd w:fill="1F497D" w:color="auto" w:val="clear"/>
          </w:tcPr>
          <w:p>
            <w:r>
              <w:rPr>
                <w:b/>
                <w:color w:val="FFFFFF"/>
              </w:rPr>
              <w:t>Artículo</w:t>
            </w:r>
          </w:p>
        </w:tc>
      </w:tr>
      <w:tr>
        <w:tc>
          <w:tcPr>
            <w:tcW w:type="dxa" w:w="1440"/>
          </w:tcPr>
          <w:p>
            <w:r>
              <w:t>CU-31</w:t>
            </w:r>
          </w:p>
        </w:tc>
        <w:tc>
          <w:tcPr>
            <w:tcW w:type="dxa" w:w="1440"/>
          </w:tcPr>
          <w:p>
            <w:r>
              <w:t>Detección de titular repetido</w:t>
            </w:r>
          </w:p>
        </w:tc>
        <w:tc>
          <w:tcPr>
            <w:tcW w:type="dxa" w:w="1440"/>
          </w:tcPr>
          <w:p>
            <w:r>
              <w:t>Formulario Público ARCO</w:t>
            </w:r>
          </w:p>
        </w:tc>
        <w:tc>
          <w:tcPr>
            <w:tcW w:type="dxa" w:w="1440"/>
          </w:tcPr>
          <w:p>
            <w:r>
              <w:t>Anónimo (titular)</w:t>
            </w:r>
          </w:p>
        </w:tc>
        <w:tc>
          <w:tcPr>
            <w:tcW w:type="dxa" w:w="1440"/>
          </w:tcPr>
          <w:p>
            <w:r>
              <w:t>El sistema verifica si el email del titular ya tiene tickets abiertos en la empresa seleccionada. Si existen, muestra banner amarillo de advertencia. El titular puede continuar de todos modos.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</w:tr>
      <w:tr>
        <w:tc>
          <w:tcPr>
            <w:tcW w:type="dxa" w:w="1440"/>
          </w:tcPr>
          <w:p>
            <w:r>
              <w:t>CU-32</w:t>
            </w:r>
          </w:p>
        </w:tc>
        <w:tc>
          <w:tcPr>
            <w:tcW w:type="dxa" w:w="1440"/>
          </w:tcPr>
          <w:p>
            <w:r>
              <w:t>Acuse de recibo automático ARCO</w:t>
            </w:r>
          </w:p>
        </w:tc>
        <w:tc>
          <w:tcPr>
            <w:tcW w:type="dxa" w:w="1440"/>
          </w:tcPr>
          <w:p>
            <w:r>
              <w:t>Módulo ARCO</w:t>
            </w:r>
          </w:p>
        </w:tc>
        <w:tc>
          <w:tcPr>
            <w:tcW w:type="dxa" w:w="1440"/>
          </w:tcPr>
          <w:p>
            <w:r>
              <w:t>Staff (editor+)</w:t>
            </w:r>
          </w:p>
        </w:tc>
        <w:tc>
          <w:tcPr>
            <w:tcW w:type="dxa" w:w="1440"/>
          </w:tcPr>
          <w:p>
            <w:r>
              <w:t>Al crear un ticket ARCO con email del titular, el sistema envía automáticamente un acuse de recibo con el tracking token y la fecha de vencimiento (10 días hábiles).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</w:tr>
      <w:tr>
        <w:tc>
          <w:tcPr>
            <w:tcW w:type="dxa" w:w="1440"/>
          </w:tcPr>
          <w:p>
            <w:r>
              <w:t>CU-33</w:t>
            </w:r>
          </w:p>
        </w:tc>
        <w:tc>
          <w:tcPr>
            <w:tcW w:type="dxa" w:w="1440"/>
          </w:tcPr>
          <w:p>
            <w:r>
              <w:t>Insertar placeholders en respuesta</w:t>
            </w:r>
          </w:p>
        </w:tc>
        <w:tc>
          <w:tcPr>
            <w:tcW w:type="dxa" w:w="1440"/>
          </w:tcPr>
          <w:p>
            <w:r>
              <w:t>Módulo ARCO</w:t>
            </w:r>
          </w:p>
        </w:tc>
        <w:tc>
          <w:tcPr>
            <w:tcW w:type="dxa" w:w="1440"/>
          </w:tcPr>
          <w:p>
            <w:r>
              <w:t>Staff (editor+)</w:t>
            </w:r>
          </w:p>
        </w:tc>
        <w:tc>
          <w:tcPr>
            <w:tcW w:type="dxa" w:w="1440"/>
          </w:tcPr>
          <w:p>
            <w:r>
              <w:t>El operador redacta la respuesta al titular. Chips de placeholders dinámicos permiten insertar {{nombre_titular}}, {{empresa}}, {{fecha}}, {{numero_solicitud}}, {{dias_bloqueo}}, {{fecha_vencimiento}} con un clic.</w:t>
            </w:r>
          </w:p>
        </w:tc>
        <w:tc>
          <w:tcPr>
            <w:tcW w:type="dxa" w:w="1440"/>
          </w:tcPr>
          <w:p>
            <w:r>
              <w:t>Usabilidad</w:t>
            </w:r>
          </w:p>
        </w:tc>
      </w:tr>
      <w:tr>
        <w:tc>
          <w:tcPr>
            <w:tcW w:type="dxa" w:w="1440"/>
          </w:tcPr>
          <w:p>
            <w:r>
              <w:t>CU-34</w:t>
            </w:r>
          </w:p>
        </w:tc>
        <w:tc>
          <w:tcPr>
            <w:tcW w:type="dxa" w:w="1440"/>
          </w:tcPr>
          <w:p>
            <w:r>
              <w:t>Ver flujo ARCO con tiempos reales</w:t>
            </w:r>
          </w:p>
        </w:tc>
        <w:tc>
          <w:tcPr>
            <w:tcW w:type="dxa" w:w="1440"/>
          </w:tcPr>
          <w:p>
            <w:r>
              <w:t>Módulo ARCO</w:t>
            </w:r>
          </w:p>
        </w:tc>
        <w:tc>
          <w:tcPr>
            <w:tcW w:type="dxa" w:w="1440"/>
          </w:tcPr>
          <w:p>
            <w:r>
              <w:t>Staff (editor+)</w:t>
            </w:r>
          </w:p>
        </w:tc>
        <w:tc>
          <w:tcPr>
            <w:tcW w:type="dxa" w:w="1440"/>
          </w:tcPr>
          <w:p>
            <w:r>
              <w:t>El modal de flujo muestra el estado actual del ticket junto con días hábiles consumidos, días restantes y un semáforo de color (verde/amarillo/rojo) según el SLA.</w:t>
            </w:r>
          </w:p>
        </w:tc>
        <w:tc>
          <w:tcPr>
            <w:tcW w:type="dxa" w:w="1440"/>
          </w:tcPr>
          <w:p>
            <w:r>
              <w:t>Art. 12 Ley 21.719</w:t>
            </w:r>
          </w:p>
        </w:tc>
      </w:tr>
      <w:tr>
        <w:tc>
          <w:tcPr>
            <w:tcW w:type="dxa" w:w="1440"/>
          </w:tcPr>
          <w:p>
            <w:r>
              <w:t>CU-35</w:t>
            </w:r>
          </w:p>
        </w:tc>
        <w:tc>
          <w:tcPr>
            <w:tcW w:type="dxa" w:w="1440"/>
          </w:tcPr>
          <w:p>
            <w:r>
              <w:t>Ficha de empresa (tabs)</w:t>
            </w:r>
          </w:p>
        </w:tc>
        <w:tc>
          <w:tcPr>
            <w:tcW w:type="dxa" w:w="1440"/>
          </w:tcPr>
          <w:p>
            <w:r>
              <w:t>Módulo Empresas</w:t>
            </w:r>
          </w:p>
        </w:tc>
        <w:tc>
          <w:tcPr>
            <w:tcW w:type="dxa" w:w="1440"/>
          </w:tcPr>
          <w:p>
            <w:r>
              <w:t>Staff (cualquier rol)</w:t>
            </w:r>
          </w:p>
        </w:tc>
        <w:tc>
          <w:tcPr>
            <w:tcW w:type="dxa" w:w="1440"/>
          </w:tcPr>
          <w:p>
            <w:r>
              <w:t>Al hacer clic en 'Ficha' de una empresa, se despliega un panel con 4 tabs: Datos (edición), RATs (listado), ARCO (tickets), Brechas. Carga lazy por tab.</w:t>
            </w:r>
          </w:p>
        </w:tc>
        <w:tc>
          <w:tcPr>
            <w:tcW w:type="dxa" w:w="1440"/>
          </w:tcPr>
          <w:p>
            <w:r>
              <w:t>Art. 16 Ley 21.719</w:t>
            </w:r>
          </w:p>
        </w:tc>
      </w:tr>
    </w:tbl>
    <w:p>
      <w:pPr>
        <w:pStyle w:val="Heading1"/>
      </w:pPr>
      <w:r>
        <w:t>2. Casos de Uso Existentes (referencia)</w:t>
      </w:r>
    </w:p>
    <w:p>
      <w:r>
        <w:t>Los siguientes CUs fueron documentados en versiones anteriores y permanecen vigentes. Ver 04_Casos_de_Uso_v1.10.docx para detalle completo.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color="auto" w:val="clear"/>
          </w:tcPr>
          <w:p>
            <w:r>
              <w:rPr>
                <w:b/>
                <w:color w:val="FFFFFF"/>
              </w:rPr>
              <w:t>Rango</w:t>
            </w:r>
          </w:p>
        </w:tc>
        <w:tc>
          <w:tcPr>
            <w:tcW w:type="dxa" w:w="4320"/>
            <w:shd w:fill="1F497D" w:color="auto" w:val="clear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CU-01 a CU-06</w:t>
            </w:r>
          </w:p>
        </w:tc>
        <w:tc>
          <w:tcPr>
            <w:tcW w:type="dxa" w:w="4320"/>
          </w:tcPr>
          <w:p>
            <w:r>
              <w:t>Onboarding y Gestión de Empresas</w:t>
            </w:r>
          </w:p>
        </w:tc>
      </w:tr>
      <w:tr>
        <w:tc>
          <w:tcPr>
            <w:tcW w:type="dxa" w:w="4320"/>
          </w:tcPr>
          <w:p>
            <w:r>
              <w:t>CU-07 a CU-14</w:t>
            </w:r>
          </w:p>
        </w:tc>
        <w:tc>
          <w:tcPr>
            <w:tcW w:type="dxa" w:w="4320"/>
          </w:tcPr>
          <w:p>
            <w:r>
              <w:t>CRUD RAT (crear, editar, aprobar, duplicar, exportar)</w:t>
            </w:r>
          </w:p>
        </w:tc>
      </w:tr>
      <w:tr>
        <w:tc>
          <w:tcPr>
            <w:tcW w:type="dxa" w:w="4320"/>
          </w:tcPr>
          <w:p>
            <w:r>
              <w:t>CU-15 a CU-18</w:t>
            </w:r>
          </w:p>
        </w:tc>
        <w:tc>
          <w:tcPr>
            <w:tcW w:type="dxa" w:w="4320"/>
          </w:tcPr>
          <w:p>
            <w:r>
              <w:t>Brechas de Seguridad (Art. 14 bis)</w:t>
            </w:r>
          </w:p>
        </w:tc>
      </w:tr>
      <w:tr>
        <w:tc>
          <w:tcPr>
            <w:tcW w:type="dxa" w:w="4320"/>
          </w:tcPr>
          <w:p>
            <w:r>
              <w:t>CU-19 a CU-22</w:t>
            </w:r>
          </w:p>
        </w:tc>
        <w:tc>
          <w:tcPr>
            <w:tcW w:type="dxa" w:w="4320"/>
          </w:tcPr>
          <w:p>
            <w:r>
              <w:t>Consentimientos (Art. 12)</w:t>
            </w:r>
          </w:p>
        </w:tc>
      </w:tr>
      <w:tr>
        <w:tc>
          <w:tcPr>
            <w:tcW w:type="dxa" w:w="4320"/>
          </w:tcPr>
          <w:p>
            <w:r>
              <w:t>CU-23 a CU-26</w:t>
            </w:r>
          </w:p>
        </w:tc>
        <w:tc>
          <w:tcPr>
            <w:tcW w:type="dxa" w:w="4320"/>
          </w:tcPr>
          <w:p>
            <w:r>
              <w:t>EIPD (Art. 15 bis)</w:t>
            </w:r>
          </w:p>
        </w:tc>
      </w:tr>
      <w:tr>
        <w:tc>
          <w:tcPr>
            <w:tcW w:type="dxa" w:w="4320"/>
          </w:tcPr>
          <w:p>
            <w:r>
              <w:t>CU-27 a CU-30</w:t>
            </w:r>
          </w:p>
        </w:tc>
        <w:tc>
          <w:tcPr>
            <w:tcW w:type="dxa" w:w="4320"/>
          </w:tcPr>
          <w:p>
            <w:r>
              <w:t>Formulario Público ARCO y Seguimiento</w:t>
            </w:r>
          </w:p>
        </w:tc>
      </w:tr>
    </w:tbl>
    <w:p>
      <w:pPr>
        <w:pStyle w:val="Heading1"/>
      </w:pPr>
      <w:r>
        <w:t>3. Flujo Principal — CU-31: Detección Titular Repetido</w:t>
      </w:r>
    </w:p>
    <w:p>
      <w:r>
        <w:t>Precondición: el titular está en el Paso 1 del formulario público con empresa ya seleccionada.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color="auto" w:val="clear"/>
          </w:tcPr>
          <w:p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4320"/>
            <w:shd w:fill="1F497D" w:color="auto" w:val="clear"/>
          </w:tcPr>
          <w:p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 titular ingresa su email en el campo correspondiente.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Al salir del campo (onBlur), el frontend llama GET /publico/verificar-titular?company_id=X&amp;email=Y.</w:t>
            </w:r>
          </w:p>
        </w:tc>
      </w:tr>
      <w:tr>
        <w:tc>
          <w:tcPr>
            <w:tcW w:type="dxa" w:w="4320"/>
          </w:tcPr>
          <w:p>
            <w:r>
              <w:t>3a</w:t>
            </w:r>
          </w:p>
        </w:tc>
        <w:tc>
          <w:tcPr>
            <w:tcW w:type="dxa" w:w="4320"/>
          </w:tcPr>
          <w:p>
            <w:r>
              <w:t>Si {tiene_tickets_abiertos: false} → no ocurre nada, flujo normal.</w:t>
            </w:r>
          </w:p>
        </w:tc>
      </w:tr>
      <w:tr>
        <w:tc>
          <w:tcPr>
            <w:tcW w:type="dxa" w:w="4320"/>
          </w:tcPr>
          <w:p>
            <w:r>
              <w:t>3b</w:t>
            </w:r>
          </w:p>
        </w:tc>
        <w:tc>
          <w:tcPr>
            <w:tcW w:type="dxa" w:w="4320"/>
          </w:tcPr>
          <w:p>
            <w:r>
              <w:t>Si {tiene_tickets_abiertos: true, cantidad: N} → aparece banner amarillo advirtiendo N ticket(s) abierto(s).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 titular puede continuar de todos modos (el banner no bloquea).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Si el titular decide continuar, avanza al Paso 2 normalmente.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