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MTX — Matriz de Trazabilidad</w:t>
      </w:r>
    </w:p>
    <w:p>
      <w:pPr>
        <w:jc w:val="center"/>
      </w:pPr>
      <w:r>
        <w:t>RF ↔ HU ↔ CU ↔ Endpoint · v1.12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Trazabilidad Nuevos Elementos v1.12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HU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CU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Implementación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Artículo Legal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1440"/>
          </w:tcPr>
          <w:p>
            <w:r>
              <w:t>RF-174</w:t>
            </w:r>
          </w:p>
        </w:tc>
        <w:tc>
          <w:tcPr>
            <w:tcW w:type="dxa" w:w="1440"/>
          </w:tcPr>
          <w:p>
            <w:r>
              <w:t>HU-104</w:t>
            </w:r>
          </w:p>
        </w:tc>
        <w:tc>
          <w:tcPr>
            <w:tcW w:type="dxa" w:w="1440"/>
          </w:tcPr>
          <w:p>
            <w:r>
              <w:t>CU-31</w:t>
            </w:r>
          </w:p>
        </w:tc>
        <w:tc>
          <w:tcPr>
            <w:tcW w:type="dxa" w:w="1440"/>
          </w:tcPr>
          <w:p>
            <w:r>
              <w:t>GET /publico/verificar-titular</w:t>
            </w:r>
          </w:p>
        </w:tc>
        <w:tc>
          <w:tcPr>
            <w:tcW w:type="dxa" w:w="1440"/>
          </w:tcPr>
          <w:p>
            <w:r>
              <w:t>Art. 12 Ley 21.719</w:t>
            </w:r>
          </w:p>
        </w:tc>
        <w:tc>
          <w:tcPr>
            <w:tcW w:type="dxa" w:w="1440"/>
          </w:tcPr>
          <w:p>
            <w:r>
              <w:t>TC-056, TC-057, TC-058, TC-059</w:t>
            </w:r>
          </w:p>
        </w:tc>
      </w:tr>
      <w:tr>
        <w:tc>
          <w:tcPr>
            <w:tcW w:type="dxa" w:w="1440"/>
          </w:tcPr>
          <w:p>
            <w:r>
              <w:t>RF-175</w:t>
            </w:r>
          </w:p>
        </w:tc>
        <w:tc>
          <w:tcPr>
            <w:tcW w:type="dxa" w:w="1440"/>
          </w:tcPr>
          <w:p>
            <w:r>
              <w:t>HU-105</w:t>
            </w:r>
          </w:p>
        </w:tc>
        <w:tc>
          <w:tcPr>
            <w:tcW w:type="dxa" w:w="1440"/>
          </w:tcPr>
          <w:p>
            <w:r>
              <w:t>CU-32</w:t>
            </w:r>
          </w:p>
        </w:tc>
        <w:tc>
          <w:tcPr>
            <w:tcW w:type="dxa" w:w="1440"/>
          </w:tcPr>
          <w:p>
            <w:r>
              <w:t>POST /tkt-solicitud-derecho/ (acuse)</w:t>
            </w:r>
          </w:p>
        </w:tc>
        <w:tc>
          <w:tcPr>
            <w:tcW w:type="dxa" w:w="1440"/>
          </w:tcPr>
          <w:p>
            <w:r>
              <w:t>Art. 12 Ley 21.719</w:t>
            </w:r>
          </w:p>
        </w:tc>
        <w:tc>
          <w:tcPr>
            <w:tcW w:type="dxa" w:w="1440"/>
          </w:tcPr>
          <w:p>
            <w:r>
              <w:t>TC-060, TC-061</w:t>
            </w:r>
          </w:p>
        </w:tc>
      </w:tr>
      <w:tr>
        <w:tc>
          <w:tcPr>
            <w:tcW w:type="dxa" w:w="1440"/>
          </w:tcPr>
          <w:p>
            <w:r>
              <w:t>RF-176</w:t>
            </w:r>
          </w:p>
        </w:tc>
        <w:tc>
          <w:tcPr>
            <w:tcW w:type="dxa" w:w="1440"/>
          </w:tcPr>
          <w:p>
            <w:r>
              <w:t>HU-106</w:t>
            </w:r>
          </w:p>
        </w:tc>
        <w:tc>
          <w:tcPr>
            <w:tcW w:type="dxa" w:w="1440"/>
          </w:tcPr>
          <w:p>
            <w:r>
              <w:t>CU-33</w:t>
            </w:r>
          </w:p>
        </w:tc>
        <w:tc>
          <w:tcPr>
            <w:tcW w:type="dxa" w:w="1440"/>
          </w:tcPr>
          <w:p>
            <w:r>
              <w:t>Frontend TicketDrawer.tsx (chips)</w:t>
            </w:r>
          </w:p>
        </w:tc>
        <w:tc>
          <w:tcPr>
            <w:tcW w:type="dxa" w:w="1440"/>
          </w:tcPr>
          <w:p>
            <w:r>
              <w:t>Usabilidad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RF-177</w:t>
            </w:r>
          </w:p>
        </w:tc>
        <w:tc>
          <w:tcPr>
            <w:tcW w:type="dxa" w:w="1440"/>
          </w:tcPr>
          <w:p>
            <w:r>
              <w:t>HU-107</w:t>
            </w:r>
          </w:p>
        </w:tc>
        <w:tc>
          <w:tcPr>
            <w:tcW w:type="dxa" w:w="1440"/>
          </w:tcPr>
          <w:p>
            <w:r>
              <w:t>CU-34</w:t>
            </w:r>
          </w:p>
        </w:tc>
        <w:tc>
          <w:tcPr>
            <w:tcW w:type="dxa" w:w="1440"/>
          </w:tcPr>
          <w:p>
            <w:r>
              <w:t>Frontend FlujoModal.tsx (banner SLA)</w:t>
            </w:r>
          </w:p>
        </w:tc>
        <w:tc>
          <w:tcPr>
            <w:tcW w:type="dxa" w:w="1440"/>
          </w:tcPr>
          <w:p>
            <w:r>
              <w:t>Art. 12 Ley 21.719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RF-178</w:t>
            </w:r>
          </w:p>
        </w:tc>
        <w:tc>
          <w:tcPr>
            <w:tcW w:type="dxa" w:w="1440"/>
          </w:tcPr>
          <w:p>
            <w:r>
              <w:t>HU-108</w:t>
            </w:r>
          </w:p>
        </w:tc>
        <w:tc>
          <w:tcPr>
            <w:tcW w:type="dxa" w:w="1440"/>
          </w:tcPr>
          <w:p>
            <w:r>
              <w:t>CU-35</w:t>
            </w:r>
          </w:p>
        </w:tc>
        <w:tc>
          <w:tcPr>
            <w:tcW w:type="dxa" w:w="1440"/>
          </w:tcPr>
          <w:p>
            <w:r>
              <w:t>Frontend CompanyFichaPanel.tsx</w:t>
            </w:r>
          </w:p>
        </w:tc>
        <w:tc>
          <w:tcPr>
            <w:tcW w:type="dxa" w:w="1440"/>
          </w:tcPr>
          <w:p>
            <w:r>
              <w:t>Art. 16 Ley 21.719</w:t>
            </w:r>
          </w:p>
        </w:tc>
        <w:tc>
          <w:tcPr>
            <w:tcW w:type="dxa" w:w="1440"/>
          </w:tcPr>
          <w:p>
            <w:r>
              <w:t>TC-062</w:t>
            </w:r>
          </w:p>
        </w:tc>
      </w:tr>
      <w:tr>
        <w:tc>
          <w:tcPr>
            <w:tcW w:type="dxa" w:w="1440"/>
          </w:tcPr>
          <w:p>
            <w:r>
              <w:t>RF-179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CI/CD pip-audit</w:t>
            </w:r>
          </w:p>
        </w:tc>
        <w:tc>
          <w:tcPr>
            <w:tcW w:type="dxa" w:w="1440"/>
          </w:tcPr>
          <w:p>
            <w:r>
              <w:t>Seguridad DevOps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RNF-21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Global (código, tests, docs)</w:t>
            </w:r>
          </w:p>
        </w:tc>
        <w:tc>
          <w:tcPr>
            <w:tcW w:type="dxa" w:w="1440"/>
          </w:tcPr>
          <w:p>
            <w:r>
              <w:t>Nomenclatura APDP</w:t>
            </w:r>
          </w:p>
        </w:tc>
        <w:tc>
          <w:tcPr>
            <w:tcW w:type="dxa" w:w="1440"/>
          </w:tcPr>
          <w:p>
            <w:r>
              <w:t>TC-063</w:t>
            </w:r>
          </w:p>
        </w:tc>
      </w:tr>
      <w:tr>
        <w:tc>
          <w:tcPr>
            <w:tcW w:type="dxa" w:w="1440"/>
          </w:tcPr>
          <w:p>
            <w:r>
              <w:t>RNF-22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GET /publico/verificar-titular</w:t>
            </w:r>
          </w:p>
        </w:tc>
        <w:tc>
          <w:tcPr>
            <w:tcW w:type="dxa" w:w="1440"/>
          </w:tcPr>
          <w:p>
            <w:r>
              <w:t>Seguridad rate limit</w:t>
            </w:r>
          </w:p>
        </w:tc>
        <w:tc>
          <w:tcPr>
            <w:tcW w:type="dxa" w:w="1440"/>
          </w:tcPr>
          <w:p>
            <w:r>
              <w:t>TC-059</w:t>
            </w:r>
          </w:p>
        </w:tc>
      </w:tr>
    </w:tbl>
    <w:p>
      <w:pPr>
        <w:pStyle w:val="Heading1"/>
      </w:pPr>
      <w:r>
        <w:t>2. Trazabilidad Anterior Vigente</w:t>
      </w:r>
    </w:p>
    <w:p>
      <w:r>
        <w:t>La trazabilidad de RF-001 a RF-173 / HU-001 a HU-103 / CU-01 a CU-30 permanece vigente. Ver Matriz_Trazabilidad_v1.10.docx para el detalle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