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RBAC fixes DT-014 (RF-114), DT-015 (RF-115), /health endpoint (RF-116)._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(5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Descargar documento de base legal (GET /rats/{id}/archivo).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BYTEA/BLOB con límite 5 MB.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CSRF (S14), encryption at rest (C1), service layer (A6).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