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CUST-DOC-MATRIZ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MATRIZ DE TRAZABILIDAD</w:t>
      </w:r>
    </w:p>
    <w:p>
      <w:pPr>
        <w:spacing w:after="480"/>
        <w:jc w:val="center"/>
      </w:pPr>
      <w:r>
        <w:rPr>
          <w:i/>
          <w:color w:val="2E74B5"/>
          <w:sz w:val="28"/>
        </w:rPr>
        <w:t>Requisitos Ley 21.719 → Features → User Stories → Tests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v1.3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Matriz inicial con 20 requisitos de la Ley 21.719.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requisitos de seguridad: token blacklist, hash chain, IDOR.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Actualizada post-auditoría con hallazgos críticos.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_Beta Launch: DT-014/DT-015/DT-016/DT-017 añadidos, todos los P0 cerrados._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Matriz de Trazabilidad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Trazabilidad requisitos legales</w:t>
      </w:r>
    </w:p>
    <w:p>
      <w:r>
        <w:rPr>
          <w:sz w:val="22"/>
        </w:rPr>
        <w:t>Todos los artículos de la Ley 21.719 relevantes para Custodio RAT Manager: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Artículo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Requisito</w:t>
            </w:r>
          </w:p>
        </w:tc>
        <w:tc>
          <w:tcPr>
            <w:tcW w:type="dxa" w:w="311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Feature relacionada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Artículo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Requisito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Feature relacionada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12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Consentimiento expreso (Art. 12)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US-CONS-01, US-CONS-02, CB-01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14 bis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Gestión de brechas de seguridad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US-BRCH-01, DT-015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14 ter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Política de transparencia pública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US-PUB-01, US-PUB-02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14 quater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Contratos con encargados del tratamiento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US-ENC-01 al US-ENC-04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15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Registro de Actividades de Tratamiento (RAT)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US-RAT-01 al US-RAT-06, DT-014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15 bis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Evaluaciones de Impacto (EIPD)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US-EIPD-01, US-EIPD-02, CB-02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  <w:u w:val="single"/>
              </w:rPr>
              <w:t>CERRADO v1.3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16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Datos sensibles requieren EIPD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US-EIPD-01, US-EIPD-02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17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Derechos ARCO (Acceso, Rectificación, Cancelación, Oposición)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US-ARCO-01 al US-ARCO-06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Cerrado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b/>
                <w:sz w:val="20"/>
              </w:rPr>
              <w:t>Art. 19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  <w:u w:val="single"/>
              </w:rPr>
              <w:t>Medidas de seguridad técnicas y organizacionales</w:t>
            </w:r>
          </w:p>
        </w:tc>
        <w:tc>
          <w:tcPr>
            <w:tcW w:type="dxa" w:w="3118"/>
            <w:vAlign w:val="top"/>
          </w:tcPr>
          <w:p>
            <w:r/>
            <w:r>
              <w:rPr>
                <w:sz w:val="20"/>
              </w:rPr>
              <w:t>TF-01 al TF-10, S14 (pendiente)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Parcial</w:t>
            </w:r>
          </w:p>
        </w:tc>
      </w:tr>
    </w:tbl>
    <w:p>
      <w:pPr>
        <w:pStyle w:val="Heading1"/>
      </w:pPr>
      <w:r>
        <w:t>2. Hallazgos de auditoría → acción</w:t>
      </w:r>
    </w:p>
    <w:p>
      <w:r>
        <w:rPr>
          <w:sz w:val="22"/>
        </w:rPr>
        <w:t>_ traceability de los 17 hallazgos de auditoría v1.2 a sus correcciones en v1.3:_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2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Gravedad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Corrección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Commit</w:t>
            </w:r>
          </w:p>
        </w:tc>
        <w:tc>
          <w:tcPr>
            <w:tcW w:type="dxa" w:w="124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Descripción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Gravedad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Corrección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Commit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R-API-03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Token blacklist JTI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get_current_user consulta blacklist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IDOR en /companies/{id}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check_company_access en todas rutas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/companies/publico sin auth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auth requerida en endpoint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CSV injection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Sanitización con prefijo '_'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Rate limiting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slowapi en /auth/login 5/min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R-API-08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JWT expiry 24h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Expiry 480 min + refresh rotation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96167b5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admin_empresa RAT cross-company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RBAC check con get_empresas_usuario()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6209e2d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DT-015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usuario crea brechas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RBAC bloquea rol usuario en POST /brechas/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6209e2d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DT-016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Sin /health endpoint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 /health y /health/db implementados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6209e2d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  <w:tr>
        <w:tc>
          <w:tcPr>
            <w:tcW w:type="dxa" w:w="1020"/>
            <w:vAlign w:val="top"/>
          </w:tcPr>
          <w:p>
            <w:r/>
            <w:r>
              <w:rPr>
                <w:b/>
                <w:sz w:val="20"/>
              </w:rPr>
              <w:t>DT-017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consentimientos/eipd 500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  <w:u w:val="single"/>
              </w:rPr>
              <w:t>get_user() → Depends(get_current_user)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6980187/43287c0</w:t>
            </w:r>
          </w:p>
        </w:tc>
        <w:tc>
          <w:tcPr>
            <w:tcW w:type="dxa" w:w="1247"/>
            <w:vAlign w:val="top"/>
          </w:tcPr>
          <w:p>
            <w:r/>
            <w:r>
              <w:rPr>
                <w:sz w:val="20"/>
                <w:u w:val="single"/>
              </w:rPr>
              <w:t>CERRADO</w:t>
            </w:r>
          </w:p>
        </w:tc>
      </w:tr>
    </w:tbl>
    <w:p>
      <w:pPr>
        <w:pStyle w:val="Heading1"/>
      </w:pPr>
      <w:r>
        <w:t>3. Features → Tests</w:t>
      </w:r>
    </w:p>
    <w:p>
      <w:r>
        <w:rPr>
          <w:sz w:val="22"/>
        </w:rPr>
        <w:t>_Cobertura actual: ~25% (meta v1.3: 40%). Tests ejecutados: 215 pytest + ~65 E2E._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Feature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Tests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TF-01 Token blacklist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test_blacklist_*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TF-02 IDOR protection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test_idor_* + E2E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TF-03 CSV sanitization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test_csv_injection_*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TF-04 Hash chain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test_hash_chain_*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TF-05 Rate limiting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pytest: test_rate_limit_*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TF-08 RBAC fixes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_pytest: test_rbac_* + QA-RAT-03, QA-BRCH-02_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TF-09 Router fixes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_pytest: test_consent_* + test_eipd_*_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TF-10 /health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_pytest: test_health_* + QA-SYS-01/02_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215 passed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S14 CSRF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 tests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b/>
                <w:sz w:val="20"/>
              </w:rPr>
              <w:t>C1 Encryption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 tests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PENDIENTE</w:t>
            </w:r>
          </w:p>
        </w:tc>
      </w:tr>
    </w:tbl>
    <w:p>
      <w:pPr>
        <w:pStyle w:val="Heading1"/>
      </w:pPr>
      <w:r>
        <w:t>Apéndice B — Riesgos identificados</w:t>
      </w:r>
    </w:p>
    <w:p>
      <w:r>
        <w:rPr>
          <w:i/>
          <w:sz w:val="22"/>
        </w:rPr>
        <w:t>Riesgos detectados durante la auditoría documental y técnica:</w:t>
      </w:r>
    </w:p>
    <w:p>
      <w:pPr>
        <w:spacing w:before="80" w:after="40"/>
      </w:pPr>
      <w:r>
        <w:rPr>
          <w:b/>
          <w:i/>
          <w:color w:val="1F497D"/>
          <w:sz w:val="18"/>
        </w:rPr>
        <w:t xml:space="preserve">Tabla 1 — </w:t>
      </w:r>
      <w:r>
        <w:rPr>
          <w:i/>
          <w:color w:val="404040"/>
          <w:sz w:val="18"/>
        </w:rPr>
        <w:t>Riesgos identificados durante la auditoría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737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R-MAT-01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sz w:val="20"/>
              </w:rPr>
              <w:t>Pendientes S14 y C1 bloquean compliance total Ley 21.719.</w:t>
            </w:r>
          </w:p>
        </w:tc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Matriz de Trazabilidad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Matriz de Trazabilidad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v1.3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