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Calibri" w:hAnsi="Calibri"/>
          <w:b/>
          <w:i w:val="0"/>
          <w:color w:val="00467F"/>
          <w:sz w:val="36"/>
        </w:rPr>
        <w:t>LEY 21.719 DE PROTECCIÓN DE DATOS PERSONALES</w:t>
      </w:r>
    </w:p>
    <w:p>
      <w:pPr>
        <w:jc w:val="center"/>
      </w:pPr>
      <w:r>
        <w:rPr>
          <w:rFonts w:ascii="Calibri" w:hAnsi="Calibri"/>
          <w:b w:val="0"/>
          <w:i/>
          <w:color w:val="0070C0"/>
          <w:sz w:val="28"/>
        </w:rPr>
        <w:t>Módulo 5 · Apartado 4 — Transferencias Internacionales de Datos Personales</w:t>
      </w:r>
    </w:p>
    <w:p>
      <w:pPr>
        <w:jc w:val="center"/>
      </w:pPr>
      <w:r>
        <w:rPr>
          <w:rFonts w:ascii="Calibri" w:hAnsi="Calibri"/>
          <w:b w:val="0"/>
          <w:i w:val="0"/>
          <w:color w:val="646464"/>
          <w:sz w:val="20"/>
        </w:rPr>
        <w:t>Instructor: Claude Fuentes Pérez  |  Ley 21.719 vigente desde 1° de diciembre de 2026</w:t>
      </w:r>
    </w:p>
    <w:p/>
    <w:p>
      <w:pPr>
        <w:spacing w:before="80" w:after="80"/>
      </w:pPr>
      <w:r>
        <w:rPr>
          <w:rFonts w:ascii="Calibri" w:hAnsi="Calibri"/>
          <w:b w:val="0"/>
          <w:i w:val="0"/>
          <w:color w:val="BEBEBE"/>
          <w:sz w:val="14"/>
        </w:rPr>
        <w:t>──────────────────────────────────────────────────────────────────────────────────────────</w:t>
      </w:r>
    </w:p>
    <w:p/>
    <w:p>
      <w:pPr>
        <w:spacing w:before="280" w:after="80"/>
      </w:pPr>
      <w:r>
        <w:rPr>
          <w:rFonts w:ascii="Calibri" w:hAnsi="Calibri"/>
          <w:b/>
          <w:i w:val="0"/>
          <w:color w:val="00467F"/>
          <w:sz w:val="28"/>
        </w:rPr>
        <w:t>1. RESUMEN EJECUTIVO</w:t>
      </w:r>
    </w:p>
    <w:p>
      <w:r>
        <w:rPr>
          <w:rFonts w:ascii="Calibri" w:hAnsi="Calibri"/>
          <w:b w:val="0"/>
          <w:i w:val="0"/>
          <w:sz w:val="22"/>
        </w:rPr>
        <w:t>En la economía digital, los datos personales cruzan fronteras constantemente: servidores en la nube, plataformas de RRHH, centros de atención offshore. La Ley 21.719 regula esta realidad exigiendo que las transferencias internacionales garanticen un nivel de protección equivalente al chileno. Cuando no existe esa garantía natural (país con adecuación reconocida), se deben usar instrumentos legales como las Cláusulas Contractuales Tipo (CCM), aprobadas por la Agencia chilena. La responsabilidad no viaja con los datos: el responsable del tratamiento en Chile sigue respondiendo ante los titulares aunque el encargado esté en otro país y sea quien falle.</w:t>
      </w:r>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2. CONTEXTO — ECONOMÍA DIGITAL Y FLUJO DE DATOS</w:t>
      </w:r>
    </w:p>
    <w:p>
      <w:pPr>
        <w:spacing w:before="160" w:after="40"/>
      </w:pPr>
      <w:r>
        <w:rPr>
          <w:rFonts w:ascii="Calibri" w:hAnsi="Calibri"/>
          <w:b/>
          <w:i w:val="0"/>
          <w:color w:val="0070C0"/>
          <w:sz w:val="22"/>
        </w:rPr>
        <w:t>2.1  Por qué los datos cruzan fronteras</w:t>
      </w:r>
    </w:p>
    <w:p>
      <w:pPr>
        <w:pStyle w:val="ListBullet"/>
        <w:spacing w:after="40"/>
      </w:pPr>
      <w:r>
        <w:rPr>
          <w:rFonts w:ascii="Calibri" w:hAnsi="Calibri"/>
          <w:b w:val="0"/>
          <w:i w:val="0"/>
          <w:color w:val="282828"/>
          <w:sz w:val="22"/>
        </w:rPr>
        <w:t>El uso de cloud (AWS, Azure, Google Cloud) implica datos alojados en datacenters fuera del país.</w:t>
      </w:r>
    </w:p>
    <w:p>
      <w:pPr>
        <w:pStyle w:val="ListBullet"/>
        <w:spacing w:after="40"/>
      </w:pPr>
      <w:r>
        <w:rPr>
          <w:rFonts w:ascii="Calibri" w:hAnsi="Calibri"/>
          <w:b w:val="0"/>
          <w:i w:val="0"/>
          <w:color w:val="282828"/>
          <w:sz w:val="22"/>
        </w:rPr>
        <w:t>Plataformas globales de RRHH, CRM y ERP procesan datos de empleados y clientes en el extranjero.</w:t>
      </w:r>
    </w:p>
    <w:p>
      <w:pPr>
        <w:pStyle w:val="ListBullet"/>
        <w:spacing w:after="40"/>
      </w:pPr>
      <w:r>
        <w:rPr>
          <w:rFonts w:ascii="Calibri" w:hAnsi="Calibri"/>
          <w:b w:val="0"/>
          <w:i w:val="0"/>
          <w:color w:val="282828"/>
          <w:sz w:val="22"/>
        </w:rPr>
        <w:t>Centros de atención al cliente en otros países acceden a datos personales de chilenos.</w:t>
      </w:r>
    </w:p>
    <w:p>
      <w:pPr>
        <w:pStyle w:val="ListBullet"/>
        <w:spacing w:after="40"/>
      </w:pPr>
      <w:r>
        <w:rPr>
          <w:rFonts w:ascii="Calibri" w:hAnsi="Calibri"/>
          <w:b w:val="0"/>
          <w:i w:val="0"/>
          <w:color w:val="282828"/>
          <w:sz w:val="22"/>
        </w:rPr>
        <w:t>Tener una cuenta de correo en Gmail o Outlook ya implica que datos personales cruzan la frontera.</w:t>
      </w:r>
    </w:p>
    <w:p>
      <w:pPr>
        <w:spacing w:before="160" w:after="40"/>
      </w:pPr>
      <w:r>
        <w:rPr>
          <w:rFonts w:ascii="Calibri" w:hAnsi="Calibri"/>
          <w:b/>
          <w:i w:val="0"/>
          <w:color w:val="0070C0"/>
          <w:sz w:val="22"/>
        </w:rPr>
        <w:t>2.2  El equilibrio fundamental</w:t>
      </w:r>
    </w:p>
    <w:tbl>
      <w:tblPr>
        <w:tblStyle w:val="TableGrid"/>
        <w:tblW w:type="auto" w:w="0"/>
        <w:jc w:val="center"/>
        <w:tblLook w:firstColumn="1" w:firstRow="1" w:lastColumn="0" w:lastRow="0" w:noHBand="0" w:noVBand="1" w:val="04A0"/>
      </w:tblPr>
      <w:tblGrid>
        <w:gridCol w:w="4703"/>
        <w:gridCol w:w="4703"/>
      </w:tblGrid>
      <w:tr>
        <w:tc>
          <w:tcPr>
            <w:tcW w:type="dxa" w:w="2835"/>
            <w:shd w:fill="003F7F" w:val="clear"/>
          </w:tcPr>
          <w:p>
            <w:r>
              <w:rPr>
                <w:rFonts w:ascii="Calibri" w:hAnsi="Calibri"/>
                <w:b/>
                <w:i w:val="0"/>
                <w:color w:val="FFFFFF"/>
                <w:sz w:val="20"/>
              </w:rPr>
              <w:t>Escenario</w:t>
            </w:r>
          </w:p>
        </w:tc>
        <w:tc>
          <w:tcPr>
            <w:tcW w:type="dxa" w:w="7087"/>
            <w:shd w:fill="003F7F" w:val="clear"/>
          </w:tcPr>
          <w:p>
            <w:r>
              <w:rPr>
                <w:rFonts w:ascii="Calibri" w:hAnsi="Calibri"/>
                <w:b/>
                <w:i w:val="0"/>
                <w:color w:val="FFFFFF"/>
                <w:sz w:val="20"/>
              </w:rPr>
              <w:t>Consecuencia</w:t>
            </w:r>
          </w:p>
        </w:tc>
      </w:tr>
      <w:tr>
        <w:tc>
          <w:tcPr>
            <w:tcW w:type="dxa" w:w="2835"/>
          </w:tcPr>
          <w:p>
            <w:r>
              <w:rPr>
                <w:rFonts w:ascii="Calibri" w:hAnsi="Calibri"/>
                <w:b w:val="0"/>
                <w:i w:val="0"/>
                <w:sz w:val="20"/>
              </w:rPr>
              <w:t>Sin restricciones a la transferencia</w:t>
            </w:r>
          </w:p>
        </w:tc>
        <w:tc>
          <w:tcPr>
            <w:tcW w:type="dxa" w:w="7087"/>
          </w:tcPr>
          <w:p>
            <w:r>
              <w:rPr>
                <w:rFonts w:ascii="Calibri" w:hAnsi="Calibri"/>
                <w:b w:val="0"/>
                <w:i w:val="0"/>
                <w:sz w:val="20"/>
              </w:rPr>
              <w:t>Operación fluida, pero datos personales sin protección real fuera del país</w:t>
            </w:r>
          </w:p>
        </w:tc>
      </w:tr>
      <w:tr>
        <w:tc>
          <w:tcPr>
            <w:tcW w:type="dxa" w:w="2835"/>
            <w:shd w:fill="EBF3FB" w:val="clear"/>
          </w:tcPr>
          <w:p>
            <w:r>
              <w:rPr>
                <w:rFonts w:ascii="Calibri" w:hAnsi="Calibri"/>
                <w:b w:val="0"/>
                <w:i w:val="0"/>
                <w:sz w:val="20"/>
              </w:rPr>
              <w:t>Restricciones excesivas</w:t>
            </w:r>
          </w:p>
        </w:tc>
        <w:tc>
          <w:tcPr>
            <w:tcW w:type="dxa" w:w="7087"/>
            <w:shd w:fill="EBF3FB" w:val="clear"/>
          </w:tcPr>
          <w:p>
            <w:r>
              <w:rPr>
                <w:rFonts w:ascii="Calibri" w:hAnsi="Calibri"/>
                <w:b w:val="0"/>
                <w:i w:val="0"/>
                <w:sz w:val="20"/>
              </w:rPr>
              <w:t>Protección robusta, pero operación internacional gravemente afectada</w:t>
            </w:r>
          </w:p>
        </w:tc>
      </w:tr>
      <w:tr>
        <w:tc>
          <w:tcPr>
            <w:tcW w:type="dxa" w:w="2835"/>
          </w:tcPr>
          <w:p>
            <w:r>
              <w:rPr>
                <w:rFonts w:ascii="Calibri" w:hAnsi="Calibri"/>
                <w:b w:val="0"/>
                <w:i w:val="0"/>
                <w:sz w:val="20"/>
              </w:rPr>
              <w:t>Punto óptimo — Ley 21.719</w:t>
            </w:r>
          </w:p>
        </w:tc>
        <w:tc>
          <w:tcPr>
            <w:tcW w:type="dxa" w:w="7087"/>
          </w:tcPr>
          <w:p>
            <w:r>
              <w:rPr>
                <w:rFonts w:ascii="Calibri" w:hAnsi="Calibri"/>
                <w:b w:val="0"/>
                <w:i w:val="0"/>
                <w:sz w:val="20"/>
              </w:rPr>
              <w:t>Transferencia posible cuando existen garantías mínimas verificadas por la Agencia</w:t>
            </w:r>
          </w:p>
        </w:tc>
      </w:tr>
    </w:tbl>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3. ¿QUÉ ES UNA TRANSFERENCIA INTERNACIONAL DE DATOS?</w:t>
      </w:r>
    </w:p>
    <w:p>
      <w:r>
        <w:rPr>
          <w:rFonts w:ascii="Calibri" w:hAnsi="Calibri"/>
          <w:b w:val="0"/>
          <w:i w:val="0"/>
          <w:sz w:val="22"/>
        </w:rPr>
        <w:t>Toda comunicación, envío, acceso remoto o puesta a disposición de datos personales desde o hacia otro país. Aplica independientemente de la temporalidad: un acceso puntual o permanente están igualmente regulados por la Ley 21.719.</w:t>
      </w:r>
    </w:p>
    <w:tbl>
      <w:tblPr>
        <w:tblStyle w:val="TableGrid"/>
        <w:tblW w:type="auto" w:w="0"/>
        <w:jc w:val="center"/>
        <w:tblLook w:firstColumn="1" w:firstRow="1" w:lastColumn="0" w:lastRow="0" w:noHBand="0" w:noVBand="1" w:val="04A0"/>
      </w:tblPr>
      <w:tblGrid>
        <w:gridCol w:w="4703"/>
        <w:gridCol w:w="4703"/>
      </w:tblGrid>
      <w:tr>
        <w:tc>
          <w:tcPr>
            <w:tcW w:type="dxa" w:w="5669"/>
            <w:shd w:fill="003F7F" w:val="clear"/>
          </w:tcPr>
          <w:p>
            <w:r>
              <w:rPr>
                <w:rFonts w:ascii="Calibri" w:hAnsi="Calibri"/>
                <w:b/>
                <w:i w:val="0"/>
                <w:color w:val="FFFFFF"/>
                <w:sz w:val="20"/>
              </w:rPr>
              <w:t>Ejemplo práctico</w:t>
            </w:r>
          </w:p>
        </w:tc>
        <w:tc>
          <w:tcPr>
            <w:tcW w:type="dxa" w:w="4252"/>
            <w:shd w:fill="003F7F" w:val="clear"/>
          </w:tcPr>
          <w:p>
            <w:r>
              <w:rPr>
                <w:rFonts w:ascii="Calibri" w:hAnsi="Calibri"/>
                <w:b/>
                <w:i w:val="0"/>
                <w:color w:val="FFFFFF"/>
                <w:sz w:val="20"/>
              </w:rPr>
              <w:t>Tipo de transferencia</w:t>
            </w:r>
          </w:p>
        </w:tc>
      </w:tr>
      <w:tr>
        <w:tc>
          <w:tcPr>
            <w:tcW w:type="dxa" w:w="5669"/>
          </w:tcPr>
          <w:p>
            <w:r>
              <w:rPr>
                <w:rFonts w:ascii="Calibri" w:hAnsi="Calibri"/>
                <w:b w:val="0"/>
                <w:i w:val="0"/>
                <w:sz w:val="20"/>
              </w:rPr>
              <w:t>Plataforma de RRHH alojada en EE.UU. con datos de empleados chilenos</w:t>
            </w:r>
          </w:p>
        </w:tc>
        <w:tc>
          <w:tcPr>
            <w:tcW w:type="dxa" w:w="4252"/>
          </w:tcPr>
          <w:p>
            <w:r>
              <w:rPr>
                <w:rFonts w:ascii="Calibri" w:hAnsi="Calibri"/>
                <w:b w:val="0"/>
                <w:i w:val="0"/>
                <w:sz w:val="20"/>
              </w:rPr>
              <w:t>Envío continuo de datos al exterior</w:t>
            </w:r>
          </w:p>
        </w:tc>
      </w:tr>
      <w:tr>
        <w:tc>
          <w:tcPr>
            <w:tcW w:type="dxa" w:w="5669"/>
            <w:shd w:fill="EBF3FB" w:val="clear"/>
          </w:tcPr>
          <w:p>
            <w:r>
              <w:rPr>
                <w:rFonts w:ascii="Calibri" w:hAnsi="Calibri"/>
                <w:b w:val="0"/>
                <w:i w:val="0"/>
                <w:sz w:val="20"/>
              </w:rPr>
              <w:t>Sistema CRM en datacenter europeo con datos de clientes</w:t>
            </w:r>
          </w:p>
        </w:tc>
        <w:tc>
          <w:tcPr>
            <w:tcW w:type="dxa" w:w="4252"/>
            <w:shd w:fill="EBF3FB" w:val="clear"/>
          </w:tcPr>
          <w:p>
            <w:r>
              <w:rPr>
                <w:rFonts w:ascii="Calibri" w:hAnsi="Calibri"/>
                <w:b w:val="0"/>
                <w:i w:val="0"/>
                <w:sz w:val="20"/>
              </w:rPr>
              <w:t>Almacenamiento transfronterizo permanente</w:t>
            </w:r>
          </w:p>
        </w:tc>
      </w:tr>
      <w:tr>
        <w:tc>
          <w:tcPr>
            <w:tcW w:type="dxa" w:w="5669"/>
          </w:tcPr>
          <w:p>
            <w:r>
              <w:rPr>
                <w:rFonts w:ascii="Calibri" w:hAnsi="Calibri"/>
                <w:b w:val="0"/>
                <w:i w:val="0"/>
                <w:sz w:val="20"/>
              </w:rPr>
              <w:t>Centro de atención en Colombia accediendo a datos de clientes chilenos</w:t>
            </w:r>
          </w:p>
        </w:tc>
        <w:tc>
          <w:tcPr>
            <w:tcW w:type="dxa" w:w="4252"/>
          </w:tcPr>
          <w:p>
            <w:r>
              <w:rPr>
                <w:rFonts w:ascii="Calibri" w:hAnsi="Calibri"/>
                <w:b w:val="0"/>
                <w:i w:val="0"/>
                <w:sz w:val="20"/>
              </w:rPr>
              <w:t>Acceso remoto desde el exterior</w:t>
            </w:r>
          </w:p>
        </w:tc>
      </w:tr>
      <w:tr>
        <w:tc>
          <w:tcPr>
            <w:tcW w:type="dxa" w:w="5669"/>
            <w:shd w:fill="EBF3FB" w:val="clear"/>
          </w:tcPr>
          <w:p>
            <w:r>
              <w:rPr>
                <w:rFonts w:ascii="Calibri" w:hAnsi="Calibri"/>
                <w:b w:val="0"/>
                <w:i w:val="0"/>
                <w:sz w:val="20"/>
              </w:rPr>
              <w:t>Médico extranjero revisando datos de salud de un paciente chileno</w:t>
            </w:r>
          </w:p>
        </w:tc>
        <w:tc>
          <w:tcPr>
            <w:tcW w:type="dxa" w:w="4252"/>
            <w:shd w:fill="EBF3FB" w:val="clear"/>
          </w:tcPr>
          <w:p>
            <w:r>
              <w:rPr>
                <w:rFonts w:ascii="Calibri" w:hAnsi="Calibri"/>
                <w:b w:val="0"/>
                <w:i w:val="0"/>
                <w:sz w:val="20"/>
              </w:rPr>
              <w:t>Puesta a disposición puntual y autorizada</w:t>
            </w:r>
          </w:p>
        </w:tc>
      </w:tr>
    </w:tbl>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4. REGLAS GENERALES Y EXCEPCIONES</w:t>
      </w:r>
    </w:p>
    <w:p>
      <w:pPr>
        <w:spacing w:before="160" w:after="40"/>
      </w:pPr>
      <w:r>
        <w:rPr>
          <w:rFonts w:ascii="Calibri" w:hAnsi="Calibri"/>
          <w:b/>
          <w:i w:val="0"/>
          <w:color w:val="0070C0"/>
          <w:sz w:val="22"/>
        </w:rPr>
        <w:t>4.1  Transferencia habitual permitida — 3 condiciones (cualquiera de ellas)</w:t>
      </w:r>
    </w:p>
    <w:tbl>
      <w:tblPr>
        <w:tblStyle w:val="TableGrid"/>
        <w:tblW w:type="auto" w:w="0"/>
        <w:jc w:val="center"/>
        <w:tblLook w:firstColumn="1" w:firstRow="1" w:lastColumn="0" w:lastRow="0" w:noHBand="0" w:noVBand="1" w:val="04A0"/>
      </w:tblPr>
      <w:tblGrid>
        <w:gridCol w:w="4703"/>
        <w:gridCol w:w="4703"/>
      </w:tblGrid>
      <w:tr>
        <w:tc>
          <w:tcPr>
            <w:tcW w:type="dxa" w:w="2835"/>
            <w:shd w:fill="003F7F" w:val="clear"/>
          </w:tcPr>
          <w:p>
            <w:r>
              <w:rPr>
                <w:rFonts w:ascii="Calibri" w:hAnsi="Calibri"/>
                <w:b/>
                <w:i w:val="0"/>
                <w:color w:val="FFFFFF"/>
                <w:sz w:val="20"/>
              </w:rPr>
              <w:t>Condición</w:t>
            </w:r>
          </w:p>
        </w:tc>
        <w:tc>
          <w:tcPr>
            <w:tcW w:type="dxa" w:w="7087"/>
            <w:shd w:fill="003F7F" w:val="clear"/>
          </w:tcPr>
          <w:p>
            <w:r>
              <w:rPr>
                <w:rFonts w:ascii="Calibri" w:hAnsi="Calibri"/>
                <w:b/>
                <w:i w:val="0"/>
                <w:color w:val="FFFFFF"/>
                <w:sz w:val="20"/>
              </w:rPr>
              <w:t>Descripción</w:t>
            </w:r>
          </w:p>
        </w:tc>
      </w:tr>
      <w:tr>
        <w:tc>
          <w:tcPr>
            <w:tcW w:type="dxa" w:w="2835"/>
          </w:tcPr>
          <w:p>
            <w:r>
              <w:rPr>
                <w:rFonts w:ascii="Calibri" w:hAnsi="Calibri"/>
                <w:b w:val="0"/>
                <w:i w:val="0"/>
                <w:sz w:val="20"/>
              </w:rPr>
              <w:t>1. País receptor con nivel adecuado</w:t>
            </w:r>
          </w:p>
        </w:tc>
        <w:tc>
          <w:tcPr>
            <w:tcW w:type="dxa" w:w="7087"/>
          </w:tcPr>
          <w:p>
            <w:r>
              <w:rPr>
                <w:rFonts w:ascii="Calibri" w:hAnsi="Calibri"/>
                <w:b w:val="0"/>
                <w:i w:val="0"/>
                <w:sz w:val="20"/>
              </w:rPr>
              <w:t>El país destino tiene legislación de protección de datos equivalente a la chilena, certificada por la Agencia</w:t>
            </w:r>
          </w:p>
        </w:tc>
      </w:tr>
      <w:tr>
        <w:tc>
          <w:tcPr>
            <w:tcW w:type="dxa" w:w="2835"/>
            <w:shd w:fill="EBF3FB" w:val="clear"/>
          </w:tcPr>
          <w:p>
            <w:r>
              <w:rPr>
                <w:rFonts w:ascii="Calibri" w:hAnsi="Calibri"/>
                <w:b w:val="0"/>
                <w:i w:val="0"/>
                <w:sz w:val="20"/>
              </w:rPr>
              <w:t>2. Empresa receptora con garantías contractuales</w:t>
            </w:r>
          </w:p>
        </w:tc>
        <w:tc>
          <w:tcPr>
            <w:tcW w:type="dxa" w:w="7087"/>
            <w:shd w:fill="EBF3FB" w:val="clear"/>
          </w:tcPr>
          <w:p>
            <w:r>
              <w:rPr>
                <w:rFonts w:ascii="Calibri" w:hAnsi="Calibri"/>
                <w:b w:val="0"/>
                <w:i w:val="0"/>
                <w:sz w:val="20"/>
              </w:rPr>
              <w:t>La empresa extranjera tiene CCM u otros contratos que obligan a proteger los datos personales</w:t>
            </w:r>
          </w:p>
        </w:tc>
      </w:tr>
      <w:tr>
        <w:tc>
          <w:tcPr>
            <w:tcW w:type="dxa" w:w="2835"/>
          </w:tcPr>
          <w:p>
            <w:r>
              <w:rPr>
                <w:rFonts w:ascii="Calibri" w:hAnsi="Calibri"/>
                <w:b w:val="0"/>
                <w:i w:val="0"/>
                <w:sz w:val="20"/>
              </w:rPr>
              <w:t>3. Empresa receptora con certificación de cumplimiento</w:t>
            </w:r>
          </w:p>
        </w:tc>
        <w:tc>
          <w:tcPr>
            <w:tcW w:type="dxa" w:w="7087"/>
          </w:tcPr>
          <w:p>
            <w:r>
              <w:rPr>
                <w:rFonts w:ascii="Calibri" w:hAnsi="Calibri"/>
                <w:b w:val="0"/>
                <w:i w:val="0"/>
                <w:sz w:val="20"/>
              </w:rPr>
              <w:t>La empresa demuestra adherencia a un estándar reconocido (ISO 27701, etc.)</w:t>
            </w:r>
          </w:p>
        </w:tc>
      </w:tr>
    </w:tbl>
    <w:p/>
    <w:p>
      <w:pPr>
        <w:spacing w:before="160" w:after="40"/>
      </w:pPr>
      <w:r>
        <w:rPr>
          <w:rFonts w:ascii="Calibri" w:hAnsi="Calibri"/>
          <w:b/>
          <w:i w:val="0"/>
          <w:color w:val="0070C0"/>
          <w:sz w:val="22"/>
        </w:rPr>
        <w:t>4.2  Las 8 excepciones — cuando no se cumplen las 3 condiciones</w:t>
      </w:r>
    </w:p>
    <w:tbl>
      <w:tblPr>
        <w:tblStyle w:val="TableGrid"/>
        <w:tblW w:type="auto" w:w="0"/>
        <w:jc w:val="center"/>
        <w:tblLook w:firstColumn="1" w:firstRow="1" w:lastColumn="0" w:lastRow="0" w:noHBand="0" w:noVBand="1" w:val="04A0"/>
      </w:tblPr>
      <w:tblGrid>
        <w:gridCol w:w="4703"/>
        <w:gridCol w:w="4703"/>
      </w:tblGrid>
      <w:tr>
        <w:tc>
          <w:tcPr>
            <w:tcW w:type="dxa" w:w="2835"/>
            <w:shd w:fill="003F7F" w:val="clear"/>
          </w:tcPr>
          <w:p>
            <w:r>
              <w:rPr>
                <w:rFonts w:ascii="Calibri" w:hAnsi="Calibri"/>
                <w:b/>
                <w:i w:val="0"/>
                <w:color w:val="FFFFFF"/>
                <w:sz w:val="20"/>
              </w:rPr>
              <w:t>Excepción</w:t>
            </w:r>
          </w:p>
        </w:tc>
        <w:tc>
          <w:tcPr>
            <w:tcW w:type="dxa" w:w="7087"/>
            <w:shd w:fill="003F7F" w:val="clear"/>
          </w:tcPr>
          <w:p>
            <w:r>
              <w:rPr>
                <w:rFonts w:ascii="Calibri" w:hAnsi="Calibri"/>
                <w:b/>
                <w:i w:val="0"/>
                <w:color w:val="FFFFFF"/>
                <w:sz w:val="20"/>
              </w:rPr>
              <w:t>Descripción</w:t>
            </w:r>
          </w:p>
        </w:tc>
      </w:tr>
      <w:tr>
        <w:tc>
          <w:tcPr>
            <w:tcW w:type="dxa" w:w="2835"/>
          </w:tcPr>
          <w:p>
            <w:r>
              <w:rPr>
                <w:rFonts w:ascii="Calibri" w:hAnsi="Calibri"/>
                <w:b w:val="0"/>
                <w:i w:val="0"/>
                <w:sz w:val="20"/>
              </w:rPr>
              <w:t>1. Consentimiento del titular</w:t>
            </w:r>
          </w:p>
        </w:tc>
        <w:tc>
          <w:tcPr>
            <w:tcW w:type="dxa" w:w="7087"/>
          </w:tcPr>
          <w:p>
            <w:r>
              <w:rPr>
                <w:rFonts w:ascii="Calibri" w:hAnsi="Calibri"/>
                <w:b w:val="0"/>
                <w:i w:val="0"/>
                <w:sz w:val="20"/>
              </w:rPr>
              <w:t>El titular aprueba expresamente que sus datos sean enviados al extranjero</w:t>
            </w:r>
          </w:p>
        </w:tc>
      </w:tr>
      <w:tr>
        <w:tc>
          <w:tcPr>
            <w:tcW w:type="dxa" w:w="2835"/>
            <w:shd w:fill="EBF3FB" w:val="clear"/>
          </w:tcPr>
          <w:p>
            <w:r>
              <w:rPr>
                <w:rFonts w:ascii="Calibri" w:hAnsi="Calibri"/>
                <w:b w:val="0"/>
                <w:i w:val="0"/>
                <w:sz w:val="20"/>
              </w:rPr>
              <w:t>2. Ejecución de un contrato</w:t>
            </w:r>
          </w:p>
        </w:tc>
        <w:tc>
          <w:tcPr>
            <w:tcW w:type="dxa" w:w="7087"/>
            <w:shd w:fill="EBF3FB" w:val="clear"/>
          </w:tcPr>
          <w:p>
            <w:r>
              <w:rPr>
                <w:rFonts w:ascii="Calibri" w:hAnsi="Calibri"/>
                <w:b w:val="0"/>
                <w:i w:val="0"/>
                <w:sz w:val="20"/>
              </w:rPr>
              <w:t>Necesario para cumplir un contrato internacional del titular (ej: seguro de viaje)</w:t>
            </w:r>
          </w:p>
        </w:tc>
      </w:tr>
      <w:tr>
        <w:tc>
          <w:tcPr>
            <w:tcW w:type="dxa" w:w="2835"/>
          </w:tcPr>
          <w:p>
            <w:r>
              <w:rPr>
                <w:rFonts w:ascii="Calibri" w:hAnsi="Calibri"/>
                <w:b w:val="0"/>
                <w:i w:val="0"/>
                <w:sz w:val="20"/>
              </w:rPr>
              <w:t>3. Gestiones precontractuales</w:t>
            </w:r>
          </w:p>
        </w:tc>
        <w:tc>
          <w:tcPr>
            <w:tcW w:type="dxa" w:w="7087"/>
          </w:tcPr>
          <w:p>
            <w:r>
              <w:rPr>
                <w:rFonts w:ascii="Calibri" w:hAnsi="Calibri"/>
                <w:b w:val="0"/>
                <w:i w:val="0"/>
                <w:sz w:val="20"/>
              </w:rPr>
              <w:t>Pasos previos a un contrato, solicitados por el propio titular</w:t>
            </w:r>
          </w:p>
        </w:tc>
      </w:tr>
      <w:tr>
        <w:tc>
          <w:tcPr>
            <w:tcW w:type="dxa" w:w="2835"/>
            <w:shd w:fill="EBF3FB" w:val="clear"/>
          </w:tcPr>
          <w:p>
            <w:r>
              <w:rPr>
                <w:rFonts w:ascii="Calibri" w:hAnsi="Calibri"/>
                <w:b w:val="0"/>
                <w:i w:val="0"/>
                <w:sz w:val="20"/>
              </w:rPr>
              <w:t>4. Interés público / cooperación internacional</w:t>
            </w:r>
          </w:p>
        </w:tc>
        <w:tc>
          <w:tcPr>
            <w:tcW w:type="dxa" w:w="7087"/>
            <w:shd w:fill="EBF3FB" w:val="clear"/>
          </w:tcPr>
          <w:p>
            <w:r>
              <w:rPr>
                <w:rFonts w:ascii="Calibri" w:hAnsi="Calibri"/>
                <w:b w:val="0"/>
                <w:i w:val="0"/>
                <w:sz w:val="20"/>
              </w:rPr>
              <w:t>Ej: pandemia, acuerdos de salud pública entre países</w:t>
            </w:r>
          </w:p>
        </w:tc>
      </w:tr>
      <w:tr>
        <w:tc>
          <w:tcPr>
            <w:tcW w:type="dxa" w:w="2835"/>
          </w:tcPr>
          <w:p>
            <w:r>
              <w:rPr>
                <w:rFonts w:ascii="Calibri" w:hAnsi="Calibri"/>
                <w:b w:val="0"/>
                <w:i w:val="0"/>
                <w:sz w:val="20"/>
              </w:rPr>
              <w:t>5. Ejercicio o defensa de derechos legales</w:t>
            </w:r>
          </w:p>
        </w:tc>
        <w:tc>
          <w:tcPr>
            <w:tcW w:type="dxa" w:w="7087"/>
          </w:tcPr>
          <w:p>
            <w:r>
              <w:rPr>
                <w:rFonts w:ascii="Calibri" w:hAnsi="Calibri"/>
                <w:b w:val="0"/>
                <w:i w:val="0"/>
                <w:sz w:val="20"/>
              </w:rPr>
              <w:t>Abogado extranjero involucrado en una causa del titular</w:t>
            </w:r>
          </w:p>
        </w:tc>
      </w:tr>
      <w:tr>
        <w:tc>
          <w:tcPr>
            <w:tcW w:type="dxa" w:w="2835"/>
            <w:shd w:fill="EBF3FB" w:val="clear"/>
          </w:tcPr>
          <w:p>
            <w:r>
              <w:rPr>
                <w:rFonts w:ascii="Calibri" w:hAnsi="Calibri"/>
                <w:b w:val="0"/>
                <w:i w:val="0"/>
                <w:sz w:val="20"/>
              </w:rPr>
              <w:t>6. Protección de interés vital</w:t>
            </w:r>
          </w:p>
        </w:tc>
        <w:tc>
          <w:tcPr>
            <w:tcW w:type="dxa" w:w="7087"/>
            <w:shd w:fill="EBF3FB" w:val="clear"/>
          </w:tcPr>
          <w:p>
            <w:r>
              <w:rPr>
                <w:rFonts w:ascii="Calibri" w:hAnsi="Calibri"/>
                <w:b w:val="0"/>
                <w:i w:val="0"/>
                <w:sz w:val="20"/>
              </w:rPr>
              <w:t>Tratamiento médico urgente que solo puede realizarse en el extranjero</w:t>
            </w:r>
          </w:p>
        </w:tc>
      </w:tr>
      <w:tr>
        <w:tc>
          <w:tcPr>
            <w:tcW w:type="dxa" w:w="2835"/>
          </w:tcPr>
          <w:p>
            <w:r>
              <w:rPr>
                <w:rFonts w:ascii="Calibri" w:hAnsi="Calibri"/>
                <w:b w:val="0"/>
                <w:i w:val="0"/>
                <w:sz w:val="20"/>
              </w:rPr>
              <w:t>7. Datos de registros públicos</w:t>
            </w:r>
          </w:p>
        </w:tc>
        <w:tc>
          <w:tcPr>
            <w:tcW w:type="dxa" w:w="7087"/>
          </w:tcPr>
          <w:p>
            <w:r>
              <w:rPr>
                <w:rFonts w:ascii="Calibri" w:hAnsi="Calibri"/>
                <w:b w:val="0"/>
                <w:i w:val="0"/>
                <w:sz w:val="20"/>
              </w:rPr>
              <w:t>Datos accesibles públicamente por disposición legal</w:t>
            </w:r>
          </w:p>
        </w:tc>
      </w:tr>
      <w:tr>
        <w:tc>
          <w:tcPr>
            <w:tcW w:type="dxa" w:w="2835"/>
            <w:shd w:fill="EBF3FB" w:val="clear"/>
          </w:tcPr>
          <w:p>
            <w:r>
              <w:rPr>
                <w:rFonts w:ascii="Calibri" w:hAnsi="Calibri"/>
                <w:b w:val="0"/>
                <w:i w:val="0"/>
                <w:sz w:val="20"/>
              </w:rPr>
              <w:t>8. Transferencias ocasionales justificadas</w:t>
            </w:r>
          </w:p>
        </w:tc>
        <w:tc>
          <w:tcPr>
            <w:tcW w:type="dxa" w:w="7087"/>
            <w:shd w:fill="EBF3FB" w:val="clear"/>
          </w:tcPr>
          <w:p>
            <w:r>
              <w:rPr>
                <w:rFonts w:ascii="Calibri" w:hAnsi="Calibri"/>
                <w:b w:val="0"/>
                <w:i w:val="0"/>
                <w:sz w:val="20"/>
              </w:rPr>
              <w:t>Caso puntual sin alternativa, debidamente documentado y justificado</w:t>
            </w:r>
          </w:p>
        </w:tc>
      </w:tr>
    </w:tbl>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5. ROLES Y RESPONSABILIDADES EN LA TRANSFERENCIA INTERNACIONAL</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003F7F" w:val="clear"/>
          </w:tcPr>
          <w:p>
            <w:r>
              <w:rPr>
                <w:rFonts w:ascii="Calibri" w:hAnsi="Calibri"/>
                <w:b/>
                <w:i w:val="0"/>
                <w:color w:val="FFFFFF"/>
                <w:sz w:val="20"/>
              </w:rPr>
              <w:t>Rol</w:t>
            </w:r>
          </w:p>
        </w:tc>
        <w:tc>
          <w:tcPr>
            <w:tcW w:type="dxa" w:w="3118"/>
            <w:shd w:fill="003F7F" w:val="clear"/>
          </w:tcPr>
          <w:p>
            <w:r>
              <w:rPr>
                <w:rFonts w:ascii="Calibri" w:hAnsi="Calibri"/>
                <w:b/>
                <w:i w:val="0"/>
                <w:color w:val="FFFFFF"/>
                <w:sz w:val="20"/>
              </w:rPr>
              <w:t>Definición</w:t>
            </w:r>
          </w:p>
        </w:tc>
        <w:tc>
          <w:tcPr>
            <w:tcW w:type="dxa" w:w="4819"/>
            <w:shd w:fill="003F7F" w:val="clear"/>
          </w:tcPr>
          <w:p>
            <w:r>
              <w:rPr>
                <w:rFonts w:ascii="Calibri" w:hAnsi="Calibri"/>
                <w:b/>
                <w:i w:val="0"/>
                <w:color w:val="FFFFFF"/>
                <w:sz w:val="20"/>
              </w:rPr>
              <w:t>Obligación principal</w:t>
            </w:r>
          </w:p>
        </w:tc>
      </w:tr>
      <w:tr>
        <w:tc>
          <w:tcPr>
            <w:tcW w:type="dxa" w:w="1984"/>
          </w:tcPr>
          <w:p>
            <w:r>
              <w:rPr>
                <w:rFonts w:ascii="Calibri" w:hAnsi="Calibri"/>
                <w:b w:val="0"/>
                <w:i w:val="0"/>
                <w:sz w:val="20"/>
              </w:rPr>
              <w:t>Titular</w:t>
            </w:r>
          </w:p>
        </w:tc>
        <w:tc>
          <w:tcPr>
            <w:tcW w:type="dxa" w:w="3118"/>
          </w:tcPr>
          <w:p>
            <w:r>
              <w:rPr>
                <w:rFonts w:ascii="Calibri" w:hAnsi="Calibri"/>
                <w:b w:val="0"/>
                <w:i w:val="0"/>
                <w:sz w:val="20"/>
              </w:rPr>
              <w:t>Persona natural cuyos datos personales se transfieren</w:t>
            </w:r>
          </w:p>
        </w:tc>
        <w:tc>
          <w:tcPr>
            <w:tcW w:type="dxa" w:w="4819"/>
          </w:tcPr>
          <w:p>
            <w:r>
              <w:rPr>
                <w:rFonts w:ascii="Calibri" w:hAnsi="Calibri"/>
                <w:b w:val="0"/>
                <w:i w:val="0"/>
                <w:sz w:val="20"/>
              </w:rPr>
              <w:t>Puede ejercer sus derechos ACCOP+ en cualquier momento, incluso cuando los datos están en el extranjero</w:t>
            </w:r>
          </w:p>
        </w:tc>
      </w:tr>
      <w:tr>
        <w:tc>
          <w:tcPr>
            <w:tcW w:type="dxa" w:w="1984"/>
            <w:shd w:fill="EBF3FB" w:val="clear"/>
          </w:tcPr>
          <w:p>
            <w:r>
              <w:rPr>
                <w:rFonts w:ascii="Calibri" w:hAnsi="Calibri"/>
                <w:b w:val="0"/>
                <w:i w:val="0"/>
                <w:sz w:val="20"/>
              </w:rPr>
              <w:t>Responsable (en Chile)</w:t>
            </w:r>
          </w:p>
        </w:tc>
        <w:tc>
          <w:tcPr>
            <w:tcW w:type="dxa" w:w="3118"/>
            <w:shd w:fill="EBF3FB" w:val="clear"/>
          </w:tcPr>
          <w:p>
            <w:r>
              <w:rPr>
                <w:rFonts w:ascii="Calibri" w:hAnsi="Calibri"/>
                <w:b w:val="0"/>
                <w:i w:val="0"/>
                <w:sz w:val="20"/>
              </w:rPr>
              <w:t>Quien decide el propósito y los medios del tratamiento</w:t>
            </w:r>
          </w:p>
        </w:tc>
        <w:tc>
          <w:tcPr>
            <w:tcW w:type="dxa" w:w="4819"/>
            <w:shd w:fill="EBF3FB" w:val="clear"/>
          </w:tcPr>
          <w:p>
            <w:r>
              <w:rPr>
                <w:rFonts w:ascii="Calibri" w:hAnsi="Calibri"/>
                <w:b w:val="0"/>
                <w:i w:val="0"/>
                <w:sz w:val="20"/>
              </w:rPr>
              <w:t>Verificar que la transferencia cumple la ley; garantizar un nivel de protección equivalente en el destino</w:t>
            </w:r>
          </w:p>
        </w:tc>
      </w:tr>
      <w:tr>
        <w:tc>
          <w:tcPr>
            <w:tcW w:type="dxa" w:w="1984"/>
          </w:tcPr>
          <w:p>
            <w:r>
              <w:rPr>
                <w:rFonts w:ascii="Calibri" w:hAnsi="Calibri"/>
                <w:b w:val="0"/>
                <w:i w:val="0"/>
                <w:sz w:val="20"/>
              </w:rPr>
              <w:t>Encargado (en el extranjero)</w:t>
            </w:r>
          </w:p>
        </w:tc>
        <w:tc>
          <w:tcPr>
            <w:tcW w:type="dxa" w:w="3118"/>
          </w:tcPr>
          <w:p>
            <w:r>
              <w:rPr>
                <w:rFonts w:ascii="Calibri" w:hAnsi="Calibri"/>
                <w:b w:val="0"/>
                <w:i w:val="0"/>
                <w:sz w:val="20"/>
              </w:rPr>
              <w:t>Quien procesa los datos en nombre del responsable, siguiendo sus instrucciones</w:t>
            </w:r>
          </w:p>
        </w:tc>
        <w:tc>
          <w:tcPr>
            <w:tcW w:type="dxa" w:w="4819"/>
          </w:tcPr>
          <w:p>
            <w:r>
              <w:rPr>
                <w:rFonts w:ascii="Calibri" w:hAnsi="Calibri"/>
                <w:b w:val="0"/>
                <w:i w:val="0"/>
                <w:sz w:val="20"/>
              </w:rPr>
              <w:t>Usar datos solo para la finalidad autorizada; mantener medidas de seguridad equivalentes a las chilenas</w:t>
            </w:r>
          </w:p>
        </w:tc>
      </w:tr>
    </w:tbl>
    <w:p/>
    <w:p>
      <w:pPr>
        <w:spacing w:before="60" w:after="100"/>
        <w:ind w:left="283"/>
      </w:pPr>
      <w:r>
        <w:rPr>
          <w:rFonts w:ascii="Calibri" w:hAnsi="Calibri"/>
          <w:b w:val="0"/>
          <w:i/>
          <w:color w:val="8C0000"/>
          <w:sz w:val="20"/>
        </w:rPr>
        <w:t>⚠  La responsabilidad NO viaja con los datos. El responsable en Chile sigue respondiendo ante los titulares aunque quien falle sea el encargado extranjero.</w:t>
      </w:r>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6. CLÁUSULAS CONTRACTUALES TIPO (CCM)</w:t>
      </w:r>
    </w:p>
    <w:p>
      <w:pPr>
        <w:spacing w:before="160" w:after="40"/>
      </w:pPr>
      <w:r>
        <w:rPr>
          <w:rFonts w:ascii="Calibri" w:hAnsi="Calibri"/>
          <w:b/>
          <w:i w:val="0"/>
          <w:color w:val="0070C0"/>
          <w:sz w:val="22"/>
        </w:rPr>
        <w:t>6.1  ¿Qué son?</w:t>
      </w:r>
    </w:p>
    <w:p>
      <w:r>
        <w:rPr>
          <w:rFonts w:ascii="Calibri" w:hAnsi="Calibri"/>
          <w:b w:val="0"/>
          <w:i w:val="0"/>
          <w:sz w:val="22"/>
        </w:rPr>
        <w:t>Las CCM (Cláusulas Contractuales Modelos) son instrumentos preaprobados por la Agencia chilena de protección de datos. Actúan como puente legal entre países: son más que un contrato, constituyen una gobernanza activa de datos entre partes de distintos países. Deben firmarse ANTES de cualquier transferencia internacional.</w:t>
      </w:r>
    </w:p>
    <w:p>
      <w:pPr>
        <w:spacing w:before="160" w:after="40"/>
      </w:pPr>
      <w:r>
        <w:rPr>
          <w:rFonts w:ascii="Calibri" w:hAnsi="Calibri"/>
          <w:b/>
          <w:i w:val="0"/>
          <w:color w:val="0070C0"/>
          <w:sz w:val="22"/>
        </w:rPr>
        <w:t>6.2  Contenido mínimo obligatorio</w:t>
      </w:r>
    </w:p>
    <w:tbl>
      <w:tblPr>
        <w:tblStyle w:val="TableGrid"/>
        <w:tblW w:type="auto" w:w="0"/>
        <w:jc w:val="center"/>
        <w:tblLook w:firstColumn="1" w:firstRow="1" w:lastColumn="0" w:lastRow="0" w:noHBand="0" w:noVBand="1" w:val="04A0"/>
      </w:tblPr>
      <w:tblGrid>
        <w:gridCol w:w="4703"/>
        <w:gridCol w:w="4703"/>
      </w:tblGrid>
      <w:tr>
        <w:tc>
          <w:tcPr>
            <w:tcW w:type="dxa" w:w="2835"/>
            <w:shd w:fill="003F7F" w:val="clear"/>
          </w:tcPr>
          <w:p>
            <w:r>
              <w:rPr>
                <w:rFonts w:ascii="Calibri" w:hAnsi="Calibri"/>
                <w:b/>
                <w:i w:val="0"/>
                <w:color w:val="FFFFFF"/>
                <w:sz w:val="20"/>
              </w:rPr>
              <w:t>Elemento</w:t>
            </w:r>
          </w:p>
        </w:tc>
        <w:tc>
          <w:tcPr>
            <w:tcW w:type="dxa" w:w="7087"/>
            <w:shd w:fill="003F7F" w:val="clear"/>
          </w:tcPr>
          <w:p>
            <w:r>
              <w:rPr>
                <w:rFonts w:ascii="Calibri" w:hAnsi="Calibri"/>
                <w:b/>
                <w:i w:val="0"/>
                <w:color w:val="FFFFFF"/>
                <w:sz w:val="20"/>
              </w:rPr>
              <w:t>Descripción</w:t>
            </w:r>
          </w:p>
        </w:tc>
      </w:tr>
      <w:tr>
        <w:tc>
          <w:tcPr>
            <w:tcW w:type="dxa" w:w="2835"/>
          </w:tcPr>
          <w:p>
            <w:r>
              <w:rPr>
                <w:rFonts w:ascii="Calibri" w:hAnsi="Calibri"/>
                <w:b w:val="0"/>
                <w:i w:val="0"/>
                <w:sz w:val="20"/>
              </w:rPr>
              <w:t>Finalidad del intercambio</w:t>
            </w:r>
          </w:p>
        </w:tc>
        <w:tc>
          <w:tcPr>
            <w:tcW w:type="dxa" w:w="7087"/>
          </w:tcPr>
          <w:p>
            <w:r>
              <w:rPr>
                <w:rFonts w:ascii="Calibri" w:hAnsi="Calibri"/>
                <w:b w:val="0"/>
                <w:i w:val="0"/>
                <w:sz w:val="20"/>
              </w:rPr>
              <w:t>Para qué se transfieren los datos y cuál es el límite de uso</w:t>
            </w:r>
          </w:p>
        </w:tc>
      </w:tr>
      <w:tr>
        <w:tc>
          <w:tcPr>
            <w:tcW w:type="dxa" w:w="2835"/>
            <w:shd w:fill="EBF3FB" w:val="clear"/>
          </w:tcPr>
          <w:p>
            <w:r>
              <w:rPr>
                <w:rFonts w:ascii="Calibri" w:hAnsi="Calibri"/>
                <w:b w:val="0"/>
                <w:i w:val="0"/>
                <w:sz w:val="20"/>
              </w:rPr>
              <w:t>Tipos de datos involucrados</w:t>
            </w:r>
          </w:p>
        </w:tc>
        <w:tc>
          <w:tcPr>
            <w:tcW w:type="dxa" w:w="7087"/>
            <w:shd w:fill="EBF3FB" w:val="clear"/>
          </w:tcPr>
          <w:p>
            <w:r>
              <w:rPr>
                <w:rFonts w:ascii="Calibri" w:hAnsi="Calibri"/>
                <w:b w:val="0"/>
                <w:i w:val="0"/>
                <w:sz w:val="20"/>
              </w:rPr>
              <w:t>Qué categorías de datos personales se incluyen (¿sensibles?)</w:t>
            </w:r>
          </w:p>
        </w:tc>
      </w:tr>
      <w:tr>
        <w:tc>
          <w:tcPr>
            <w:tcW w:type="dxa" w:w="2835"/>
          </w:tcPr>
          <w:p>
            <w:r>
              <w:rPr>
                <w:rFonts w:ascii="Calibri" w:hAnsi="Calibri"/>
                <w:b w:val="0"/>
                <w:i w:val="0"/>
                <w:sz w:val="20"/>
              </w:rPr>
              <w:t>Responsabilidades de cada parte</w:t>
            </w:r>
          </w:p>
        </w:tc>
        <w:tc>
          <w:tcPr>
            <w:tcW w:type="dxa" w:w="7087"/>
          </w:tcPr>
          <w:p>
            <w:r>
              <w:rPr>
                <w:rFonts w:ascii="Calibri" w:hAnsi="Calibri"/>
                <w:b w:val="0"/>
                <w:i w:val="0"/>
                <w:sz w:val="20"/>
              </w:rPr>
              <w:t>Qué hace cada quien y hasta dónde llega su responsabilidad</w:t>
            </w:r>
          </w:p>
        </w:tc>
      </w:tr>
      <w:tr>
        <w:tc>
          <w:tcPr>
            <w:tcW w:type="dxa" w:w="2835"/>
            <w:shd w:fill="EBF3FB" w:val="clear"/>
          </w:tcPr>
          <w:p>
            <w:r>
              <w:rPr>
                <w:rFonts w:ascii="Calibri" w:hAnsi="Calibri"/>
                <w:b w:val="0"/>
                <w:i w:val="0"/>
                <w:sz w:val="20"/>
              </w:rPr>
              <w:t>Medidas de seguridad aplicables</w:t>
            </w:r>
          </w:p>
        </w:tc>
        <w:tc>
          <w:tcPr>
            <w:tcW w:type="dxa" w:w="7087"/>
            <w:shd w:fill="EBF3FB" w:val="clear"/>
          </w:tcPr>
          <w:p>
            <w:r>
              <w:rPr>
                <w:rFonts w:ascii="Calibri" w:hAnsi="Calibri"/>
                <w:b w:val="0"/>
                <w:i w:val="0"/>
                <w:sz w:val="20"/>
              </w:rPr>
              <w:t>Controles técnicos y organizativos que ambas partes se comprometen a aplicar</w:t>
            </w:r>
          </w:p>
        </w:tc>
      </w:tr>
      <w:tr>
        <w:tc>
          <w:tcPr>
            <w:tcW w:type="dxa" w:w="2835"/>
          </w:tcPr>
          <w:p>
            <w:r>
              <w:rPr>
                <w:rFonts w:ascii="Calibri" w:hAnsi="Calibri"/>
                <w:b w:val="0"/>
                <w:i w:val="0"/>
                <w:sz w:val="20"/>
              </w:rPr>
              <w:t>Reglas ante incidentes</w:t>
            </w:r>
          </w:p>
        </w:tc>
        <w:tc>
          <w:tcPr>
            <w:tcW w:type="dxa" w:w="7087"/>
          </w:tcPr>
          <w:p>
            <w:r>
              <w:rPr>
                <w:rFonts w:ascii="Calibri" w:hAnsi="Calibri"/>
                <w:b w:val="0"/>
                <w:i w:val="0"/>
                <w:sz w:val="20"/>
              </w:rPr>
              <w:t>Qué hacer si hay una brecha de datos durante la ejecución de la transferencia</w:t>
            </w:r>
          </w:p>
        </w:tc>
      </w:tr>
      <w:tr>
        <w:tc>
          <w:tcPr>
            <w:tcW w:type="dxa" w:w="2835"/>
            <w:shd w:fill="EBF3FB" w:val="clear"/>
          </w:tcPr>
          <w:p>
            <w:r>
              <w:rPr>
                <w:rFonts w:ascii="Calibri" w:hAnsi="Calibri"/>
                <w:b w:val="0"/>
                <w:i w:val="0"/>
                <w:sz w:val="20"/>
              </w:rPr>
              <w:t>Mecanismos de supervisión</w:t>
            </w:r>
          </w:p>
        </w:tc>
        <w:tc>
          <w:tcPr>
            <w:tcW w:type="dxa" w:w="7087"/>
            <w:shd w:fill="EBF3FB" w:val="clear"/>
          </w:tcPr>
          <w:p>
            <w:r>
              <w:rPr>
                <w:rFonts w:ascii="Calibri" w:hAnsi="Calibri"/>
                <w:b w:val="0"/>
                <w:i w:val="0"/>
                <w:sz w:val="20"/>
              </w:rPr>
              <w:t>Cómo se monitorea el cumplimiento de la cláusula en el tiempo</w:t>
            </w:r>
          </w:p>
        </w:tc>
      </w:tr>
    </w:tbl>
    <w:p/>
    <w:p>
      <w:pPr>
        <w:spacing w:before="60" w:after="100"/>
        <w:ind w:left="283"/>
      </w:pPr>
      <w:r>
        <w:rPr>
          <w:rFonts w:ascii="Calibri" w:hAnsi="Calibri"/>
          <w:b w:val="0"/>
          <w:i/>
          <w:color w:val="8C0000"/>
          <w:sz w:val="20"/>
        </w:rPr>
        <w:t>⚠  La CCM no es un formulario que se firma y archiva. Es una gobernanza viva: exige monitoreo, registro de incidentes y revisión periódica.</w:t>
      </w:r>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7. ROL DE LA AGENCIA CHILENA DE PROTECCIÓN DE DATOS</w:t>
      </w:r>
    </w:p>
    <w:tbl>
      <w:tblPr>
        <w:tblStyle w:val="TableGrid"/>
        <w:tblW w:type="auto" w:w="0"/>
        <w:jc w:val="center"/>
        <w:tblLook w:firstColumn="1" w:firstRow="1" w:lastColumn="0" w:lastRow="0" w:noHBand="0" w:noVBand="1" w:val="04A0"/>
      </w:tblPr>
      <w:tblGrid>
        <w:gridCol w:w="4703"/>
        <w:gridCol w:w="4703"/>
      </w:tblGrid>
      <w:tr>
        <w:tc>
          <w:tcPr>
            <w:tcW w:type="dxa" w:w="2835"/>
            <w:shd w:fill="003F7F" w:val="clear"/>
          </w:tcPr>
          <w:p>
            <w:r>
              <w:rPr>
                <w:rFonts w:ascii="Calibri" w:hAnsi="Calibri"/>
                <w:b/>
                <w:i w:val="0"/>
                <w:color w:val="FFFFFF"/>
                <w:sz w:val="20"/>
              </w:rPr>
              <w:t>Función</w:t>
            </w:r>
          </w:p>
        </w:tc>
        <w:tc>
          <w:tcPr>
            <w:tcW w:type="dxa" w:w="7087"/>
            <w:shd w:fill="003F7F" w:val="clear"/>
          </w:tcPr>
          <w:p>
            <w:r>
              <w:rPr>
                <w:rFonts w:ascii="Calibri" w:hAnsi="Calibri"/>
                <w:b/>
                <w:i w:val="0"/>
                <w:color w:val="FFFFFF"/>
                <w:sz w:val="20"/>
              </w:rPr>
              <w:t>Descripción</w:t>
            </w:r>
          </w:p>
        </w:tc>
      </w:tr>
      <w:tr>
        <w:tc>
          <w:tcPr>
            <w:tcW w:type="dxa" w:w="2835"/>
          </w:tcPr>
          <w:p>
            <w:r>
              <w:rPr>
                <w:rFonts w:ascii="Calibri" w:hAnsi="Calibri"/>
                <w:b w:val="0"/>
                <w:i w:val="0"/>
                <w:sz w:val="20"/>
              </w:rPr>
              <w:t>Supervisar transferencias</w:t>
            </w:r>
          </w:p>
        </w:tc>
        <w:tc>
          <w:tcPr>
            <w:tcW w:type="dxa" w:w="7087"/>
          </w:tcPr>
          <w:p>
            <w:r>
              <w:rPr>
                <w:rFonts w:ascii="Calibri" w:hAnsi="Calibri"/>
                <w:b w:val="0"/>
                <w:i w:val="0"/>
                <w:sz w:val="20"/>
              </w:rPr>
              <w:t>Fiscalizar que las transferencias internacionales cumplan la Ley 21.719</w:t>
            </w:r>
          </w:p>
        </w:tc>
      </w:tr>
      <w:tr>
        <w:tc>
          <w:tcPr>
            <w:tcW w:type="dxa" w:w="2835"/>
            <w:shd w:fill="EBF3FB" w:val="clear"/>
          </w:tcPr>
          <w:p>
            <w:r>
              <w:rPr>
                <w:rFonts w:ascii="Calibri" w:hAnsi="Calibri"/>
                <w:b w:val="0"/>
                <w:i w:val="0"/>
                <w:sz w:val="20"/>
              </w:rPr>
              <w:t>Definir países con adecuación</w:t>
            </w:r>
          </w:p>
        </w:tc>
        <w:tc>
          <w:tcPr>
            <w:tcW w:type="dxa" w:w="7087"/>
            <w:shd w:fill="EBF3FB" w:val="clear"/>
          </w:tcPr>
          <w:p>
            <w:r>
              <w:rPr>
                <w:rFonts w:ascii="Calibri" w:hAnsi="Calibri"/>
                <w:b w:val="0"/>
                <w:i w:val="0"/>
                <w:sz w:val="20"/>
              </w:rPr>
              <w:t>Publicar y actualizar el listado de países con nivel de protección equivalente al chileno</w:t>
            </w:r>
          </w:p>
        </w:tc>
      </w:tr>
      <w:tr>
        <w:tc>
          <w:tcPr>
            <w:tcW w:type="dxa" w:w="2835"/>
          </w:tcPr>
          <w:p>
            <w:r>
              <w:rPr>
                <w:rFonts w:ascii="Calibri" w:hAnsi="Calibri"/>
                <w:b w:val="0"/>
                <w:i w:val="0"/>
                <w:sz w:val="20"/>
              </w:rPr>
              <w:t>Aprobar y publicar CCM</w:t>
            </w:r>
          </w:p>
        </w:tc>
        <w:tc>
          <w:tcPr>
            <w:tcW w:type="dxa" w:w="7087"/>
          </w:tcPr>
          <w:p>
            <w:r>
              <w:rPr>
                <w:rFonts w:ascii="Calibri" w:hAnsi="Calibri"/>
                <w:b w:val="0"/>
                <w:i w:val="0"/>
                <w:sz w:val="20"/>
              </w:rPr>
              <w:t>Revisar, validar y poner a disposición las cláusulas contractuales tipo para uso de las organizaciones</w:t>
            </w:r>
          </w:p>
        </w:tc>
      </w:tr>
      <w:tr>
        <w:tc>
          <w:tcPr>
            <w:tcW w:type="dxa" w:w="2835"/>
            <w:shd w:fill="EBF3FB" w:val="clear"/>
          </w:tcPr>
          <w:p>
            <w:r>
              <w:rPr>
                <w:rFonts w:ascii="Calibri" w:hAnsi="Calibri"/>
                <w:b w:val="0"/>
                <w:i w:val="0"/>
                <w:sz w:val="20"/>
              </w:rPr>
              <w:t>Aplicar sanciones</w:t>
            </w:r>
          </w:p>
        </w:tc>
        <w:tc>
          <w:tcPr>
            <w:tcW w:type="dxa" w:w="7087"/>
            <w:shd w:fill="EBF3FB" w:val="clear"/>
          </w:tcPr>
          <w:p>
            <w:r>
              <w:rPr>
                <w:rFonts w:ascii="Calibri" w:hAnsi="Calibri"/>
                <w:b w:val="0"/>
                <w:i w:val="0"/>
                <w:sz w:val="20"/>
              </w:rPr>
              <w:t>Multas e infracciones ante transferencias que no cumplan las garantías exigidas</w:t>
            </w:r>
          </w:p>
        </w:tc>
      </w:tr>
    </w:tbl>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8. SALVAGUARDAS Y PRINCIPIOS APLICABLES</w:t>
      </w:r>
    </w:p>
    <w:p>
      <w:pPr>
        <w:spacing w:before="160" w:after="40"/>
      </w:pPr>
      <w:r>
        <w:rPr>
          <w:rFonts w:ascii="Calibri" w:hAnsi="Calibri"/>
          <w:b/>
          <w:i w:val="0"/>
          <w:color w:val="0070C0"/>
          <w:sz w:val="22"/>
        </w:rPr>
        <w:t>8.1  Principios clave en transferencias internacionales</w:t>
      </w:r>
    </w:p>
    <w:tbl>
      <w:tblPr>
        <w:tblStyle w:val="TableGrid"/>
        <w:tblW w:type="auto" w:w="0"/>
        <w:jc w:val="center"/>
        <w:tblLook w:firstColumn="1" w:firstRow="1" w:lastColumn="0" w:lastRow="0" w:noHBand="0" w:noVBand="1" w:val="04A0"/>
      </w:tblPr>
      <w:tblGrid>
        <w:gridCol w:w="4703"/>
        <w:gridCol w:w="4703"/>
      </w:tblGrid>
      <w:tr>
        <w:tc>
          <w:tcPr>
            <w:tcW w:type="dxa" w:w="2551"/>
            <w:shd w:fill="003F7F" w:val="clear"/>
          </w:tcPr>
          <w:p>
            <w:r>
              <w:rPr>
                <w:rFonts w:ascii="Calibri" w:hAnsi="Calibri"/>
                <w:b/>
                <w:i w:val="0"/>
                <w:color w:val="FFFFFF"/>
                <w:sz w:val="20"/>
              </w:rPr>
              <w:t>Principio</w:t>
            </w:r>
          </w:p>
        </w:tc>
        <w:tc>
          <w:tcPr>
            <w:tcW w:type="dxa" w:w="7370"/>
            <w:shd w:fill="003F7F" w:val="clear"/>
          </w:tcPr>
          <w:p>
            <w:r>
              <w:rPr>
                <w:rFonts w:ascii="Calibri" w:hAnsi="Calibri"/>
                <w:b/>
                <w:i w:val="0"/>
                <w:color w:val="FFFFFF"/>
                <w:sz w:val="20"/>
              </w:rPr>
              <w:t>Aplicación en transferencias internacionales</w:t>
            </w:r>
          </w:p>
        </w:tc>
      </w:tr>
      <w:tr>
        <w:tc>
          <w:tcPr>
            <w:tcW w:type="dxa" w:w="2551"/>
          </w:tcPr>
          <w:p>
            <w:r>
              <w:rPr>
                <w:rFonts w:ascii="Calibri" w:hAnsi="Calibri"/>
                <w:b w:val="0"/>
                <w:i w:val="0"/>
                <w:sz w:val="20"/>
              </w:rPr>
              <w:t>Licitud y lealtad</w:t>
            </w:r>
          </w:p>
        </w:tc>
        <w:tc>
          <w:tcPr>
            <w:tcW w:type="dxa" w:w="7370"/>
          </w:tcPr>
          <w:p>
            <w:r>
              <w:rPr>
                <w:rFonts w:ascii="Calibri" w:hAnsi="Calibri"/>
                <w:b w:val="0"/>
                <w:i w:val="0"/>
                <w:sz w:val="20"/>
              </w:rPr>
              <w:t>Ambas partes deben usar los datos de forma lícita y transparente</w:t>
            </w:r>
          </w:p>
        </w:tc>
      </w:tr>
      <w:tr>
        <w:tc>
          <w:tcPr>
            <w:tcW w:type="dxa" w:w="2551"/>
            <w:shd w:fill="EBF3FB" w:val="clear"/>
          </w:tcPr>
          <w:p>
            <w:r>
              <w:rPr>
                <w:rFonts w:ascii="Calibri" w:hAnsi="Calibri"/>
                <w:b w:val="0"/>
                <w:i w:val="0"/>
                <w:sz w:val="20"/>
              </w:rPr>
              <w:t>Finalidad</w:t>
            </w:r>
          </w:p>
        </w:tc>
        <w:tc>
          <w:tcPr>
            <w:tcW w:type="dxa" w:w="7370"/>
            <w:shd w:fill="EBF3FB" w:val="clear"/>
          </w:tcPr>
          <w:p>
            <w:r>
              <w:rPr>
                <w:rFonts w:ascii="Calibri" w:hAnsi="Calibri"/>
                <w:b w:val="0"/>
                <w:i w:val="0"/>
                <w:sz w:val="20"/>
              </w:rPr>
              <w:t>La transferencia tiene un propósito definido; los datos no pueden usarse para fines distintos</w:t>
            </w:r>
          </w:p>
        </w:tc>
      </w:tr>
      <w:tr>
        <w:tc>
          <w:tcPr>
            <w:tcW w:type="dxa" w:w="2551"/>
          </w:tcPr>
          <w:p>
            <w:r>
              <w:rPr>
                <w:rFonts w:ascii="Calibri" w:hAnsi="Calibri"/>
                <w:b w:val="0"/>
                <w:i w:val="0"/>
                <w:sz w:val="20"/>
              </w:rPr>
              <w:t>Proporcionalidad</w:t>
            </w:r>
          </w:p>
        </w:tc>
        <w:tc>
          <w:tcPr>
            <w:tcW w:type="dxa" w:w="7370"/>
          </w:tcPr>
          <w:p>
            <w:r>
              <w:rPr>
                <w:rFonts w:ascii="Calibri" w:hAnsi="Calibri"/>
                <w:b w:val="0"/>
                <w:i w:val="0"/>
                <w:sz w:val="20"/>
              </w:rPr>
              <w:t>Solo se transfieren los datos estrictamente necesarios para la finalidad</w:t>
            </w:r>
          </w:p>
        </w:tc>
      </w:tr>
      <w:tr>
        <w:tc>
          <w:tcPr>
            <w:tcW w:type="dxa" w:w="2551"/>
            <w:shd w:fill="EBF3FB" w:val="clear"/>
          </w:tcPr>
          <w:p>
            <w:r>
              <w:rPr>
                <w:rFonts w:ascii="Calibri" w:hAnsi="Calibri"/>
                <w:b w:val="0"/>
                <w:i w:val="0"/>
                <w:sz w:val="20"/>
              </w:rPr>
              <w:t>Seguridad proactiva</w:t>
            </w:r>
          </w:p>
        </w:tc>
        <w:tc>
          <w:tcPr>
            <w:tcW w:type="dxa" w:w="7370"/>
            <w:shd w:fill="EBF3FB" w:val="clear"/>
          </w:tcPr>
          <w:p>
            <w:r>
              <w:rPr>
                <w:rFonts w:ascii="Calibri" w:hAnsi="Calibri"/>
                <w:b w:val="0"/>
                <w:i w:val="0"/>
                <w:sz w:val="20"/>
              </w:rPr>
              <w:t>Implementar controles antes del evento, no como reacción a una brecha</w:t>
            </w:r>
          </w:p>
        </w:tc>
      </w:tr>
    </w:tbl>
    <w:p/>
    <w:p>
      <w:pPr>
        <w:spacing w:before="160" w:after="40"/>
      </w:pPr>
      <w:r>
        <w:rPr>
          <w:rFonts w:ascii="Calibri" w:hAnsi="Calibri"/>
          <w:b/>
          <w:i w:val="0"/>
          <w:color w:val="0070C0"/>
          <w:sz w:val="22"/>
        </w:rPr>
        <w:t>8.2  Salvaguardas técnicas y organizativas mínimas</w:t>
      </w:r>
    </w:p>
    <w:p>
      <w:pPr>
        <w:pStyle w:val="ListBullet"/>
        <w:spacing w:after="40"/>
      </w:pPr>
      <w:r>
        <w:rPr>
          <w:rFonts w:ascii="Calibri" w:hAnsi="Calibri"/>
          <w:b w:val="0"/>
          <w:i w:val="0"/>
          <w:color w:val="282828"/>
          <w:sz w:val="22"/>
        </w:rPr>
        <w:t>Cifrado de datos en tránsito y en reposo.</w:t>
      </w:r>
    </w:p>
    <w:p>
      <w:pPr>
        <w:pStyle w:val="ListBullet"/>
        <w:spacing w:after="40"/>
      </w:pPr>
      <w:r>
        <w:rPr>
          <w:rFonts w:ascii="Calibri" w:hAnsi="Calibri"/>
          <w:b w:val="0"/>
          <w:i w:val="0"/>
          <w:color w:val="282828"/>
          <w:sz w:val="22"/>
        </w:rPr>
        <w:t>Control de acceso con autenticación multifactor (MFA).</w:t>
      </w:r>
    </w:p>
    <w:p>
      <w:pPr>
        <w:pStyle w:val="ListBullet"/>
        <w:spacing w:after="40"/>
      </w:pPr>
      <w:r>
        <w:rPr>
          <w:rFonts w:ascii="Calibri" w:hAnsi="Calibri"/>
          <w:b w:val="0"/>
          <w:i w:val="0"/>
          <w:color w:val="282828"/>
          <w:sz w:val="22"/>
        </w:rPr>
        <w:t>Política de retención y eliminación de datos con plazos definidos.</w:t>
      </w:r>
    </w:p>
    <w:p>
      <w:pPr>
        <w:pStyle w:val="ListBullet"/>
        <w:spacing w:after="40"/>
      </w:pPr>
      <w:r>
        <w:rPr>
          <w:rFonts w:ascii="Calibri" w:hAnsi="Calibri"/>
          <w:b w:val="0"/>
          <w:i w:val="0"/>
          <w:color w:val="282828"/>
          <w:sz w:val="22"/>
        </w:rPr>
        <w:t>Protocolo documentado de respuesta ante incidentes transfronterizos.</w:t>
      </w:r>
    </w:p>
    <w:p>
      <w:pPr>
        <w:pStyle w:val="ListBullet"/>
        <w:spacing w:after="40"/>
      </w:pPr>
      <w:r>
        <w:rPr>
          <w:rFonts w:ascii="Calibri" w:hAnsi="Calibri"/>
          <w:b w:val="0"/>
          <w:i w:val="0"/>
          <w:color w:val="282828"/>
          <w:sz w:val="22"/>
        </w:rPr>
        <w:t>Evaluación preliminar de riesgo antes de realizar cualquier transferencia.</w:t>
      </w:r>
    </w:p>
    <w:p>
      <w:pPr>
        <w:spacing w:before="160" w:after="40"/>
      </w:pPr>
      <w:r>
        <w:rPr>
          <w:rFonts w:ascii="Calibri" w:hAnsi="Calibri"/>
          <w:b/>
          <w:i w:val="0"/>
          <w:color w:val="0070C0"/>
          <w:sz w:val="22"/>
        </w:rPr>
        <w:t>8.3  Preguntas de gestión de riesgo antes de transferir</w:t>
      </w:r>
    </w:p>
    <w:p>
      <w:pPr>
        <w:pStyle w:val="ListBullet"/>
        <w:spacing w:after="40"/>
      </w:pPr>
      <w:r>
        <w:rPr>
          <w:rFonts w:ascii="Calibri" w:hAnsi="Calibri"/>
          <w:b w:val="0"/>
          <w:i w:val="0"/>
          <w:color w:val="282828"/>
          <w:sz w:val="22"/>
        </w:rPr>
        <w:t>¿Qué tipo de datos se transfieren? ¿Son sensibles (salud, biométricos, religión, política)?</w:t>
      </w:r>
    </w:p>
    <w:p>
      <w:pPr>
        <w:pStyle w:val="ListBullet"/>
        <w:spacing w:after="40"/>
      </w:pPr>
      <w:r>
        <w:rPr>
          <w:rFonts w:ascii="Calibri" w:hAnsi="Calibri"/>
          <w:b w:val="0"/>
          <w:i w:val="0"/>
          <w:color w:val="282828"/>
          <w:sz w:val="22"/>
        </w:rPr>
        <w:t>¿A qué país? ¿Está en la lista de adecuación de la Agencia chilena?</w:t>
      </w:r>
    </w:p>
    <w:p>
      <w:pPr>
        <w:pStyle w:val="ListBullet"/>
        <w:spacing w:after="40"/>
      </w:pPr>
      <w:r>
        <w:rPr>
          <w:rFonts w:ascii="Calibri" w:hAnsi="Calibri"/>
          <w:b w:val="0"/>
          <w:i w:val="0"/>
          <w:color w:val="282828"/>
          <w:sz w:val="22"/>
        </w:rPr>
        <w:t>¿Qué riesgos existen para los titulares si hay una brecha en el país receptor?</w:t>
      </w:r>
    </w:p>
    <w:p>
      <w:pPr>
        <w:pStyle w:val="ListBullet"/>
        <w:spacing w:after="40"/>
      </w:pPr>
      <w:r>
        <w:rPr>
          <w:rFonts w:ascii="Calibri" w:hAnsi="Calibri"/>
          <w:b w:val="0"/>
          <w:i w:val="0"/>
          <w:color w:val="282828"/>
          <w:sz w:val="22"/>
        </w:rPr>
        <w:t>¿Existen CCM firmadas con la empresa receptora antes de iniciar la transferencia?</w:t>
      </w:r>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9. CICLO DE VIDA DE UNA TRANSFERENCIA INTERNACIONAL</w:t>
      </w:r>
    </w:p>
    <w:tbl>
      <w:tblPr>
        <w:tblStyle w:val="TableGrid"/>
        <w:tblW w:type="auto" w:w="0"/>
        <w:jc w:val="center"/>
        <w:tblLook w:firstColumn="1" w:firstRow="1" w:lastColumn="0" w:lastRow="0" w:noHBand="0" w:noVBand="1" w:val="04A0"/>
      </w:tblPr>
      <w:tblGrid>
        <w:gridCol w:w="4703"/>
        <w:gridCol w:w="4703"/>
      </w:tblGrid>
      <w:tr>
        <w:tc>
          <w:tcPr>
            <w:tcW w:type="dxa" w:w="2268"/>
            <w:shd w:fill="003F7F" w:val="clear"/>
          </w:tcPr>
          <w:p>
            <w:r>
              <w:rPr>
                <w:rFonts w:ascii="Calibri" w:hAnsi="Calibri"/>
                <w:b/>
                <w:i w:val="0"/>
                <w:color w:val="FFFFFF"/>
                <w:sz w:val="20"/>
              </w:rPr>
              <w:t>Fase</w:t>
            </w:r>
          </w:p>
        </w:tc>
        <w:tc>
          <w:tcPr>
            <w:tcW w:type="dxa" w:w="7654"/>
            <w:shd w:fill="003F7F" w:val="clear"/>
          </w:tcPr>
          <w:p>
            <w:r>
              <w:rPr>
                <w:rFonts w:ascii="Calibri" w:hAnsi="Calibri"/>
                <w:b/>
                <w:i w:val="0"/>
                <w:color w:val="FFFFFF"/>
                <w:sz w:val="20"/>
              </w:rPr>
              <w:t>Actividades principales</w:t>
            </w:r>
          </w:p>
        </w:tc>
      </w:tr>
      <w:tr>
        <w:tc>
          <w:tcPr>
            <w:tcW w:type="dxa" w:w="2268"/>
          </w:tcPr>
          <w:p>
            <w:r>
              <w:rPr>
                <w:rFonts w:ascii="Calibri" w:hAnsi="Calibri"/>
                <w:b w:val="0"/>
                <w:i w:val="0"/>
                <w:sz w:val="20"/>
              </w:rPr>
              <w:t>Diseño</w:t>
            </w:r>
          </w:p>
        </w:tc>
        <w:tc>
          <w:tcPr>
            <w:tcW w:type="dxa" w:w="7654"/>
          </w:tcPr>
          <w:p>
            <w:r>
              <w:rPr>
                <w:rFonts w:ascii="Calibri" w:hAnsi="Calibri"/>
                <w:b w:val="0"/>
                <w:i w:val="0"/>
                <w:sz w:val="20"/>
              </w:rPr>
              <w:t>Definir finalidad, base legal, evaluación de riesgo, selección de CCM aplicable</w:t>
            </w:r>
          </w:p>
        </w:tc>
      </w:tr>
      <w:tr>
        <w:tc>
          <w:tcPr>
            <w:tcW w:type="dxa" w:w="2268"/>
            <w:shd w:fill="EBF3FB" w:val="clear"/>
          </w:tcPr>
          <w:p>
            <w:r>
              <w:rPr>
                <w:rFonts w:ascii="Calibri" w:hAnsi="Calibri"/>
                <w:b w:val="0"/>
                <w:i w:val="0"/>
                <w:sz w:val="20"/>
              </w:rPr>
              <w:t>Ejecución</w:t>
            </w:r>
          </w:p>
        </w:tc>
        <w:tc>
          <w:tcPr>
            <w:tcW w:type="dxa" w:w="7654"/>
            <w:shd w:fill="EBF3FB" w:val="clear"/>
          </w:tcPr>
          <w:p>
            <w:r>
              <w:rPr>
                <w:rFonts w:ascii="Calibri" w:hAnsi="Calibri"/>
                <w:b w:val="0"/>
                <w:i w:val="0"/>
                <w:sz w:val="20"/>
              </w:rPr>
              <w:t>Transferir los datos, aplicar medidas de seguridad acordadas, registrar en el RAT</w:t>
            </w:r>
          </w:p>
        </w:tc>
      </w:tr>
      <w:tr>
        <w:tc>
          <w:tcPr>
            <w:tcW w:type="dxa" w:w="2268"/>
          </w:tcPr>
          <w:p>
            <w:r>
              <w:rPr>
                <w:rFonts w:ascii="Calibri" w:hAnsi="Calibri"/>
                <w:b w:val="0"/>
                <w:i w:val="0"/>
                <w:sz w:val="20"/>
              </w:rPr>
              <w:t>Control</w:t>
            </w:r>
          </w:p>
        </w:tc>
        <w:tc>
          <w:tcPr>
            <w:tcW w:type="dxa" w:w="7654"/>
          </w:tcPr>
          <w:p>
            <w:r>
              <w:rPr>
                <w:rFonts w:ascii="Calibri" w:hAnsi="Calibri"/>
                <w:b w:val="0"/>
                <w:i w:val="0"/>
                <w:sz w:val="20"/>
              </w:rPr>
              <w:t>Monitorear eventos y posibles incidentes, verificar cumplimiento de la CCM</w:t>
            </w:r>
          </w:p>
        </w:tc>
      </w:tr>
      <w:tr>
        <w:tc>
          <w:tcPr>
            <w:tcW w:type="dxa" w:w="2268"/>
            <w:shd w:fill="EBF3FB" w:val="clear"/>
          </w:tcPr>
          <w:p>
            <w:r>
              <w:rPr>
                <w:rFonts w:ascii="Calibri" w:hAnsi="Calibri"/>
                <w:b w:val="0"/>
                <w:i w:val="0"/>
                <w:sz w:val="20"/>
              </w:rPr>
              <w:t>Mejora continua</w:t>
            </w:r>
          </w:p>
        </w:tc>
        <w:tc>
          <w:tcPr>
            <w:tcW w:type="dxa" w:w="7654"/>
            <w:shd w:fill="EBF3FB" w:val="clear"/>
          </w:tcPr>
          <w:p>
            <w:r>
              <w:rPr>
                <w:rFonts w:ascii="Calibri" w:hAnsi="Calibri"/>
                <w:b w:val="0"/>
                <w:i w:val="0"/>
                <w:sz w:val="20"/>
              </w:rPr>
              <w:t>Ajustar controles, actualizar acuerdos según cambios normativos o de negocio</w:t>
            </w:r>
          </w:p>
        </w:tc>
      </w:tr>
    </w:tbl>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10. EJEMPLOS DE RIESGO EN TRANSFERENCIAS INTERNACIONALES</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003F7F" w:val="clear"/>
          </w:tcPr>
          <w:p>
            <w:r>
              <w:rPr>
                <w:rFonts w:ascii="Calibri" w:hAnsi="Calibri"/>
                <w:b/>
                <w:i w:val="0"/>
                <w:color w:val="FFFFFF"/>
                <w:sz w:val="20"/>
              </w:rPr>
              <w:t>Escenario</w:t>
            </w:r>
          </w:p>
        </w:tc>
        <w:tc>
          <w:tcPr>
            <w:tcW w:type="dxa" w:w="3685"/>
            <w:shd w:fill="003F7F" w:val="clear"/>
          </w:tcPr>
          <w:p>
            <w:r>
              <w:rPr>
                <w:rFonts w:ascii="Calibri" w:hAnsi="Calibri"/>
                <w:b/>
                <w:i w:val="0"/>
                <w:color w:val="FFFFFF"/>
                <w:sz w:val="20"/>
              </w:rPr>
              <w:t>Riesgos principales</w:t>
            </w:r>
          </w:p>
        </w:tc>
        <w:tc>
          <w:tcPr>
            <w:tcW w:type="dxa" w:w="3402"/>
            <w:shd w:fill="003F7F" w:val="clear"/>
          </w:tcPr>
          <w:p>
            <w:r>
              <w:rPr>
                <w:rFonts w:ascii="Calibri" w:hAnsi="Calibri"/>
                <w:b/>
                <w:i w:val="0"/>
                <w:color w:val="FFFFFF"/>
                <w:sz w:val="20"/>
              </w:rPr>
              <w:t>Buenas prácticas</w:t>
            </w:r>
          </w:p>
        </w:tc>
      </w:tr>
      <w:tr>
        <w:tc>
          <w:tcPr>
            <w:tcW w:type="dxa" w:w="2835"/>
          </w:tcPr>
          <w:p>
            <w:r>
              <w:rPr>
                <w:rFonts w:ascii="Calibri" w:hAnsi="Calibri"/>
                <w:b w:val="0"/>
                <w:i w:val="0"/>
                <w:sz w:val="20"/>
              </w:rPr>
              <w:t>Empresa transnacional con datos centralizados en un país</w:t>
            </w:r>
          </w:p>
        </w:tc>
        <w:tc>
          <w:tcPr>
            <w:tcW w:type="dxa" w:w="3685"/>
          </w:tcPr>
          <w:p>
            <w:r>
              <w:rPr>
                <w:rFonts w:ascii="Calibri" w:hAnsi="Calibri"/>
                <w:b w:val="0"/>
                <w:i w:val="0"/>
                <w:sz w:val="20"/>
              </w:rPr>
              <w:t>Acceso no autorizado entre jurisdicciones; uso secundario; dificultad para ejercer derechos ACCOP+</w:t>
            </w:r>
          </w:p>
        </w:tc>
        <w:tc>
          <w:tcPr>
            <w:tcW w:type="dxa" w:w="3402"/>
          </w:tcPr>
          <w:p>
            <w:r>
              <w:rPr>
                <w:rFonts w:ascii="Calibri" w:hAnsi="Calibri"/>
                <w:b w:val="0"/>
                <w:i w:val="0"/>
                <w:sz w:val="20"/>
              </w:rPr>
              <w:t>CCM + control de acceso + DPIA del flujo transfronterizo</w:t>
            </w:r>
          </w:p>
        </w:tc>
      </w:tr>
      <w:tr>
        <w:tc>
          <w:tcPr>
            <w:tcW w:type="dxa" w:w="2835"/>
            <w:shd w:fill="EBF3FB" w:val="clear"/>
          </w:tcPr>
          <w:p>
            <w:r>
              <w:rPr>
                <w:rFonts w:ascii="Calibri" w:hAnsi="Calibri"/>
                <w:b w:val="0"/>
                <w:i w:val="0"/>
                <w:sz w:val="20"/>
              </w:rPr>
              <w:t>Estado comparte datos de población con otro país (ej: pandemia)</w:t>
            </w:r>
          </w:p>
        </w:tc>
        <w:tc>
          <w:tcPr>
            <w:tcW w:type="dxa" w:w="3685"/>
            <w:shd w:fill="EBF3FB" w:val="clear"/>
          </w:tcPr>
          <w:p>
            <w:r>
              <w:rPr>
                <w:rFonts w:ascii="Calibri" w:hAnsi="Calibri"/>
                <w:b w:val="0"/>
                <w:i w:val="0"/>
                <w:sz w:val="20"/>
              </w:rPr>
              <w:t>Uso político indebido; vigilancia masiva; afectación de soberanía nacional</w:t>
            </w:r>
          </w:p>
        </w:tc>
        <w:tc>
          <w:tcPr>
            <w:tcW w:type="dxa" w:w="3402"/>
            <w:shd w:fill="EBF3FB" w:val="clear"/>
          </w:tcPr>
          <w:p>
            <w:r>
              <w:rPr>
                <w:rFonts w:ascii="Calibri" w:hAnsi="Calibri"/>
                <w:b w:val="0"/>
                <w:i w:val="0"/>
                <w:sz w:val="20"/>
              </w:rPr>
              <w:t>Acuerdos formales de intercambio + finalidad limitada y documentada</w:t>
            </w:r>
          </w:p>
        </w:tc>
      </w:tr>
      <w:tr>
        <w:tc>
          <w:tcPr>
            <w:tcW w:type="dxa" w:w="2835"/>
          </w:tcPr>
          <w:p>
            <w:r>
              <w:rPr>
                <w:rFonts w:ascii="Calibri" w:hAnsi="Calibri"/>
                <w:b w:val="0"/>
                <w:i w:val="0"/>
                <w:sz w:val="20"/>
              </w:rPr>
              <w:t>Startup con toda su infraestructura en cloud extranjero</w:t>
            </w:r>
          </w:p>
        </w:tc>
        <w:tc>
          <w:tcPr>
            <w:tcW w:type="dxa" w:w="3685"/>
          </w:tcPr>
          <w:p>
            <w:r>
              <w:rPr>
                <w:rFonts w:ascii="Calibri" w:hAnsi="Calibri"/>
                <w:b w:val="0"/>
                <w:i w:val="0"/>
                <w:sz w:val="20"/>
              </w:rPr>
              <w:t>Incertidumbre del país del servidor; datos sujetos a leyes extranjeras sin conocimiento</w:t>
            </w:r>
          </w:p>
        </w:tc>
        <w:tc>
          <w:tcPr>
            <w:tcW w:type="dxa" w:w="3402"/>
          </w:tcPr>
          <w:p>
            <w:r>
              <w:rPr>
                <w:rFonts w:ascii="Calibri" w:hAnsi="Calibri"/>
                <w:b w:val="0"/>
                <w:i w:val="0"/>
                <w:sz w:val="20"/>
              </w:rPr>
              <w:t>Verificar país del datacenter + exigir CCM al proveedor cloud</w:t>
            </w:r>
          </w:p>
        </w:tc>
      </w:tr>
    </w:tbl>
    <w:p/>
    <w:p>
      <w:pPr>
        <w:spacing w:before="60" w:after="100"/>
        <w:ind w:left="283"/>
      </w:pPr>
      <w:r>
        <w:rPr>
          <w:rFonts w:ascii="Calibri" w:hAnsi="Calibri"/>
          <w:b w:val="0"/>
          <w:i/>
          <w:color w:val="8C0000"/>
          <w:sz w:val="20"/>
        </w:rPr>
        <w:t>⚠  Los datos son un activo estratégico del país. Mientras más datos de sus ciudadanos tenga otro país, mayor capacidad de acción tiene sobre el nuestro.</w:t>
      </w:r>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MAPA MENTAL — APARTADO 4</w:t>
      </w:r>
    </w:p>
    <w:p>
      <w:r>
        <w:rPr>
          <w:rFonts w:ascii="Courier New" w:hAnsi="Courier New"/>
          <w:b w:val="0"/>
          <w:i w:val="0"/>
          <w:color w:val="282828"/>
          <w:sz w:val="18"/>
        </w:rPr>
        <w:t>TRANSFERENCIAS INTERNACIONALES DE DATOS PERSONALES</w:t>
        <w:br/>
        <w:t>├── CONTEXTO</w:t>
        <w:br/>
        <w:t>│   ├── Economía digital: cloud, plataformas globales, call centers offshore</w:t>
        <w:br/>
        <w:t>│   └── Equilibrio: operación eficiente ↔ protección de datos personales</w:t>
        <w:br/>
        <w:t>├── CUÁNDO ESTÁ PERMITIDA</w:t>
        <w:br/>
        <w:t>│   ├── País receptor con nivel adecuado (lista Agencia)</w:t>
        <w:br/>
        <w:t>│   ├── Garantías contractuales del receptor (CCM)</w:t>
        <w:br/>
        <w:t>│   ├── Certificación de cumplimiento del receptor</w:t>
        <w:br/>
        <w:t>│   └── 8 excepciones: consentimiento / contrato / interés vital...</w:t>
        <w:br/>
        <w:t>├── ROLES</w:t>
        <w:br/>
        <w:t>│   ├── Titular: sus datos, sus derechos ACCOP+ siempre vigentes</w:t>
        <w:br/>
        <w:t>│   ├── Responsable (Chile): garantiza protección, NO delega responsabilidad</w:t>
        <w:br/>
        <w:t>│   └── Encargado (extranjero): usa datos solo para finalidad acordada</w:t>
        <w:br/>
        <w:t>├── CCM (CLÁUSULAS CONTRACTUALES TIPO)</w:t>
        <w:br/>
        <w:t>│   ├── Aprobadas por la Agencia chilena</w:t>
        <w:br/>
        <w:t>│   ├── Firmadas ANTES de la transferencia</w:t>
        <w:br/>
        <w:t>│   └── Finalidad limitada + seguridad + supervisión + incidentes</w:t>
        <w:br/>
        <w:t>├── AGENCIA CHILENA</w:t>
        <w:br/>
        <w:t>│   ├── Publica lista de países con adecuación</w:t>
        <w:br/>
        <w:t>│   ├── Aprueba y publica CCM</w:t>
        <w:br/>
        <w:t>│   └── Aplica sanciones por incumplimiento</w:t>
        <w:br/>
        <w:t>└── SALVAGUARDAS</w:t>
        <w:br/>
        <w:t xml:space="preserve">    ├── Cifrado en tránsito y en reposo</w:t>
        <w:br/>
        <w:t xml:space="preserve">    ├── Control de acceso + MFA</w:t>
        <w:br/>
        <w:t xml:space="preserve">    └── Evaluación de riesgo previa a cada transferencia</w:t>
      </w:r>
    </w:p>
    <w:p>
      <w:pPr>
        <w:spacing w:before="80" w:after="80"/>
      </w:pPr>
      <w:r>
        <w:rPr>
          <w:rFonts w:ascii="Calibri" w:hAnsi="Calibri"/>
          <w:b w:val="0"/>
          <w:i w:val="0"/>
          <w:color w:val="BEBEBE"/>
          <w:sz w:val="14"/>
        </w:rPr>
        <w:t>──────────────────────────────────────────────────────────────────────────────────────────</w:t>
      </w:r>
    </w:p>
    <w:p>
      <w:pPr>
        <w:spacing w:before="280" w:after="80"/>
      </w:pPr>
      <w:r>
        <w:rPr>
          <w:rFonts w:ascii="Calibri" w:hAnsi="Calibri"/>
          <w:b/>
          <w:i w:val="0"/>
          <w:color w:val="00467F"/>
          <w:sz w:val="28"/>
        </w:rPr>
        <w:t>FRASES CLAVE PARA CONVERSACIÓN</w:t>
      </w:r>
    </w:p>
    <w:p>
      <w:pPr>
        <w:pStyle w:val="ListBullet"/>
        <w:spacing w:after="40"/>
      </w:pPr>
      <w:r>
        <w:rPr>
          <w:rFonts w:ascii="Calibri" w:hAnsi="Calibri"/>
          <w:b w:val="0"/>
          <w:i w:val="0"/>
          <w:color w:val="282828"/>
          <w:sz w:val="22"/>
        </w:rPr>
        <w:t>"Solo tener correo en Gmail implica que tus datos cruzaron la frontera. La economía digital hace las transferencias internacionales inevitables."</w:t>
      </w:r>
    </w:p>
    <w:p>
      <w:pPr>
        <w:pStyle w:val="ListBullet"/>
        <w:spacing w:after="40"/>
      </w:pPr>
      <w:r>
        <w:rPr>
          <w:rFonts w:ascii="Calibri" w:hAnsi="Calibri"/>
          <w:b w:val="0"/>
          <w:i w:val="0"/>
          <w:color w:val="282828"/>
          <w:sz w:val="22"/>
        </w:rPr>
        <w:t>"La responsabilidad no viaja con los datos: si el encargado extranjero falla, el responsable en Chile sigue respondiendo ante los titulares."</w:t>
      </w:r>
    </w:p>
    <w:p>
      <w:pPr>
        <w:pStyle w:val="ListBullet"/>
        <w:spacing w:after="40"/>
      </w:pPr>
      <w:r>
        <w:rPr>
          <w:rFonts w:ascii="Calibri" w:hAnsi="Calibri"/>
          <w:b w:val="0"/>
          <w:i w:val="0"/>
          <w:color w:val="282828"/>
          <w:sz w:val="22"/>
        </w:rPr>
        <w:t>"Una CCM no es solo un contrato, es gobernanza: define qué datos, para qué, con qué seguridad y qué hacer si hay un incidente."</w:t>
      </w:r>
    </w:p>
    <w:p>
      <w:pPr>
        <w:pStyle w:val="ListBullet"/>
        <w:spacing w:after="40"/>
      </w:pPr>
      <w:r>
        <w:rPr>
          <w:rFonts w:ascii="Calibri" w:hAnsi="Calibri"/>
          <w:b w:val="0"/>
          <w:i w:val="0"/>
          <w:color w:val="282828"/>
          <w:sz w:val="22"/>
        </w:rPr>
        <w:t>"Si el país receptor no está en la lista de adecuación de la Agencia, necesitas CCM firmadas antes de enviar cualquier dato."</w:t>
      </w:r>
    </w:p>
    <w:p>
      <w:pPr>
        <w:pStyle w:val="ListBullet"/>
        <w:spacing w:after="40"/>
      </w:pPr>
      <w:r>
        <w:rPr>
          <w:rFonts w:ascii="Calibri" w:hAnsi="Calibri"/>
          <w:b w:val="0"/>
          <w:i w:val="0"/>
          <w:color w:val="282828"/>
          <w:sz w:val="22"/>
        </w:rPr>
        <w:t>"La finalidad limita la transferencia: datos enviados para un diagnóstico médico no pueden usarse después para proyecciones de mercado."</w:t>
      </w:r>
    </w:p>
    <w:p>
      <w:pPr>
        <w:pStyle w:val="ListBullet"/>
        <w:spacing w:after="40"/>
      </w:pPr>
      <w:r>
        <w:rPr>
          <w:rFonts w:ascii="Calibri" w:hAnsi="Calibri"/>
          <w:b w:val="0"/>
          <w:i w:val="0"/>
          <w:color w:val="282828"/>
          <w:sz w:val="22"/>
        </w:rPr>
        <w:t>"Los datos son un activo estratégico del país: transferirlos sin control es ceder capacidad de acción a terceros."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