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b w:val="0"/>
          <w:i/>
          <w:color w:val="0070C0"/>
          <w:sz w:val="28"/>
        </w:rPr>
        <w:t>Módulo 6 · Apartado 1 — Régimen de Sanciones e Infracciones</w:t>
      </w:r>
    </w:p>
    <w:p>
      <w:pPr>
        <w:jc w:val="center"/>
      </w:pPr>
      <w:r>
        <w:rPr>
          <w:b w:val="0"/>
          <w:i w:val="0"/>
          <w:color w:val="646464"/>
          <w:sz w:val="20"/>
        </w:rPr>
        <w:t>Instructor: Miguel Ángel Díaz  |  Ley 21.719 vigente desde 1° de diciembre de 2026</w:t>
      </w:r>
    </w:p>
    <w:p>
      <w:pPr>
        <w:spacing w:before="80" w:after="80"/>
        <w:pBdr>
          <w:bottom w:val="single" w:sz="6" w:space="1" w:color="BFBFBF"/>
        </w:pBdr>
      </w:pPr>
    </w:p>
    <w:p>
      <w:pPr>
        <w:spacing w:before="280" w:after="80"/>
      </w:pPr>
      <w:r>
        <w:rPr>
          <w:b/>
          <w:i w:val="0"/>
          <w:color w:val="00467F"/>
          <w:sz w:val="28"/>
        </w:rPr>
        <w:t>INTRODUCCIÓN AL RÉGIMEN SANCIONATORIO</w:t>
      </w:r>
    </w:p>
    <w:p>
      <w:r>
        <w:rPr>
          <w:b w:val="0"/>
          <w:i w:val="0"/>
          <w:color w:val="000000"/>
          <w:sz w:val="21"/>
        </w:rPr>
        <w:t>La Ley 21.719 establece un sistema de sanciones graduado según la gravedad de la infracción. La autoridad encargada de fiscalizar y aplicar estas sanciones es la Agencia de Protección de Datos de Chile (APDC), organismo autónomo que entrará en operación junto con la ley el 1° de diciembre de 2026.</w:t>
      </w:r>
    </w:p>
    <w:p>
      <w:pPr>
        <w:spacing w:before="60" w:after="100"/>
        <w:ind w:left="283"/>
      </w:pPr>
      <w:r>
        <w:rPr>
          <w:b w:val="0"/>
          <w:i/>
          <w:color w:val="8C0000"/>
          <w:sz w:val="20"/>
        </w:rPr>
        <w:t>⚠  El incumplimiento de la ley no solo implica multas económicas, sino también daño reputacional y pérdida de confianza de clientes y usuarios.</w:t>
      </w:r>
    </w:p>
    <w:p>
      <w:pPr>
        <w:spacing w:before="280" w:after="80"/>
      </w:pPr>
      <w:r>
        <w:rPr>
          <w:b/>
          <w:i w:val="0"/>
          <w:color w:val="00467F"/>
          <w:sz w:val="28"/>
        </w:rPr>
        <w:t>TIPOS DE INFRACCIONES Y MONTOS DE MULTA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1984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Monto Máximo</w:t>
            </w:r>
          </w:p>
        </w:tc>
        <w:tc>
          <w:tcPr>
            <w:tcW w:type="dxa" w:w="5669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Ejemplos de Conductas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i w:val="0"/>
                <w:color w:val="000000"/>
                <w:sz w:val="20"/>
              </w:rPr>
              <w:t>Leve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color w:val="000000"/>
                <w:sz w:val="20"/>
              </w:rPr>
              <w:t>5.000 UTM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color w:val="000000"/>
                <w:sz w:val="20"/>
              </w:rPr>
              <w:t>Falta de información al titular, incumplimientos formales menores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Grave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10.000 UTM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Tratamiento sin base de licitud, incumplimiento de derechos ARCO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i w:val="0"/>
                <w:color w:val="000000"/>
                <w:sz w:val="20"/>
              </w:rPr>
              <w:t>Gravísima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color w:val="000000"/>
                <w:sz w:val="20"/>
              </w:rPr>
              <w:t>20.000 UTM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color w:val="000000"/>
                <w:sz w:val="20"/>
              </w:rPr>
              <w:t>Vulneración de datos sensibles, cesión ilícita masiva de datos</w:t>
            </w:r>
          </w:p>
        </w:tc>
      </w:tr>
    </w:tbl>
    <w:p/>
    <w:p>
      <w:pPr>
        <w:spacing w:before="60" w:after="100"/>
        <w:ind w:left="283"/>
      </w:pPr>
      <w:r>
        <w:rPr>
          <w:b w:val="0"/>
          <w:i/>
          <w:color w:val="8C0000"/>
          <w:sz w:val="20"/>
        </w:rPr>
        <w:t>⚠  La UTM (Unidad Tributaria Mensual) se actualiza mensualmente, por lo que los montos efectivos en pesos varían. Al momento de entrada en vigor de la ley, las multas serán equivalentes a montos significativos en pesos chilenos.</w:t>
      </w:r>
    </w:p>
    <w:p>
      <w:pPr>
        <w:spacing w:before="280" w:after="80"/>
      </w:pPr>
      <w:r>
        <w:rPr>
          <w:b/>
          <w:i w:val="0"/>
          <w:color w:val="00467F"/>
          <w:sz w:val="28"/>
        </w:rPr>
        <w:t>RÉGIMEN DE REINCIDENCIA</w:t>
      </w:r>
    </w:p>
    <w:p>
      <w:r>
        <w:rPr>
          <w:b w:val="0"/>
          <w:i w:val="0"/>
          <w:color w:val="000000"/>
          <w:sz w:val="21"/>
        </w:rPr>
        <w:t>La reincidencia agrava automáticamente la categoría de la infracción y puede escalar la sanción hasta un porcentaje de los ingresos anuales del responsable: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819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Situación de Reincidencia</w:t>
            </w:r>
          </w:p>
        </w:tc>
        <w:tc>
          <w:tcPr>
            <w:tcW w:type="dxa" w:w="4819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Consecuencia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color w:val="000000"/>
                <w:sz w:val="20"/>
              </w:rPr>
              <w:t>Reincidencia en infracción leve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000000"/>
                <w:sz w:val="20"/>
              </w:rPr>
              <w:t>Se clasifica como infracción grave</w:t>
            </w:r>
          </w:p>
        </w:tc>
      </w:tr>
      <w:tr>
        <w:tc>
          <w:tcPr>
            <w:tcW w:type="dxa" w:w="481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Reincidencia en infracción grave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Se clasifica como infracción gravísima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color w:val="000000"/>
                <w:sz w:val="20"/>
              </w:rPr>
              <w:t>Reincidencia en infracción gravísima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000000"/>
                <w:sz w:val="20"/>
              </w:rPr>
              <w:t>Multa equivalente al 2% de los ingresos anuales</w:t>
            </w:r>
          </w:p>
        </w:tc>
      </w:tr>
      <w:tr>
        <w:tc>
          <w:tcPr>
            <w:tcW w:type="dxa" w:w="481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Reincidencia reiterada en gravísima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Multa equivalente al 4% de los ingresos anuales</w:t>
            </w:r>
          </w:p>
        </w:tc>
      </w:tr>
    </w:tbl>
    <w:p/>
    <w:p>
      <w:pPr>
        <w:spacing w:before="60" w:after="100"/>
        <w:ind w:left="283"/>
      </w:pPr>
      <w:r>
        <w:rPr>
          <w:b w:val="0"/>
          <w:i/>
          <w:color w:val="8C0000"/>
          <w:sz w:val="20"/>
        </w:rPr>
        <w:t>⚠  El porcentaje sobre ingresos anuales (2%/4%) aplica cuando este monto supera el techo fijo en UTM, lo que puede resultar en sanciones muy elevadas para empresas de gran tamaño.</w:t>
      </w:r>
    </w:p>
    <w:p>
      <w:pPr>
        <w:spacing w:before="280" w:after="80"/>
      </w:pPr>
      <w:r>
        <w:rPr>
          <w:b/>
          <w:i w:val="0"/>
          <w:color w:val="00467F"/>
          <w:sz w:val="28"/>
        </w:rPr>
        <w:t>CIRCUNSTANCIAS ATENUANTES (ART. 33)</w:t>
      </w:r>
    </w:p>
    <w:p>
      <w:r>
        <w:rPr>
          <w:b w:val="0"/>
          <w:i w:val="0"/>
          <w:color w:val="000000"/>
          <w:sz w:val="21"/>
        </w:rPr>
        <w:t>La APDC puede reducir la sanción si el responsable acredita alguna de las siguientes circunstancias atenuantes: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Cese voluntario de la conducta infractora antes del inicio del procedimiento sancionatorio.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Adopción de medidas correctivas antes de la resolución de la APDC.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Colaboración activa con la autoridad durante el proceso de investigación.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Ausencia de daño efectivo a los titulares de datos.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No haber sido sancionado previamente por infracciones a la ley.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Reconocimiento de responsabilidad ante la autoridad.</w:t>
      </w:r>
    </w:p>
    <w:p>
      <w:pPr>
        <w:spacing w:before="280" w:after="80"/>
      </w:pPr>
      <w:r>
        <w:rPr>
          <w:b/>
          <w:i w:val="0"/>
          <w:color w:val="00467F"/>
          <w:sz w:val="28"/>
        </w:rPr>
        <w:t>CIRCUNSTANCIAS AGRAVANTES (ART. 34)</w:t>
      </w:r>
    </w:p>
    <w:p>
      <w:r>
        <w:rPr>
          <w:b w:val="0"/>
          <w:i w:val="0"/>
          <w:color w:val="000000"/>
          <w:sz w:val="21"/>
        </w:rPr>
        <w:t>La presencia de estas circunstancias incrementa la severidad de la sanción: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Reincidencia en infracciones a la presente ley.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Afectación masiva de titulares de datos (gran número de personas afectadas).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Tratamiento de datos sensibles sin las cautelas exigidas por la ley.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Lucro obtenido como consecuencia directa de la infracción.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Actuación deliberada o con dolo, ocultando o destruyendo evidencia.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Posición dominante del responsable en el mercado.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Afectación de niños, niñas o adolescentes.</w:t>
      </w:r>
    </w:p>
    <w:p>
      <w:pPr>
        <w:spacing w:before="80" w:after="80"/>
        <w:pBdr>
          <w:bottom w:val="single" w:sz="6" w:space="1" w:color="BFBFBF"/>
        </w:pBdr>
      </w:pPr>
    </w:p>
    <w:p>
      <w:pPr>
        <w:spacing w:before="280" w:after="80"/>
      </w:pPr>
      <w:r>
        <w:rPr>
          <w:b/>
          <w:i w:val="0"/>
          <w:color w:val="00467F"/>
          <w:sz w:val="28"/>
        </w:rPr>
        <w:t>AUTORIDAD DE CONTROL: APDC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7370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color w:val="000000"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color w:val="000000"/>
                <w:sz w:val="20"/>
              </w:rPr>
              <w:t>Agencia de Protección de Datos de Chile (APDC)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Naturaleza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Organismo autónomo del Estado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color w:val="000000"/>
                <w:sz w:val="20"/>
              </w:rPr>
              <w:t>Inicio de funciones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color w:val="000000"/>
                <w:sz w:val="20"/>
              </w:rPr>
              <w:t>1° de diciembre de 2026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Facultades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Fiscalización, investigación, instrucción de procedimientos y aplicación de sanciones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color w:val="000000"/>
                <w:sz w:val="20"/>
              </w:rPr>
              <w:t>Equivalente europeo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color w:val="000000"/>
                <w:sz w:val="20"/>
              </w:rPr>
              <w:t>Autoridades de control nacionales (DPAs) bajo el GDPR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0467F"/>
          <w:sz w:val="28"/>
        </w:rPr>
        <w:t>PROCEDIMIENTO SANCIONATORIO</w:t>
      </w:r>
    </w:p>
    <w:p>
      <w:pPr>
        <w:spacing w:before="200" w:after="80"/>
      </w:pPr>
      <w:r>
        <w:rPr>
          <w:b/>
          <w:i w:val="0"/>
          <w:color w:val="0070C0"/>
          <w:sz w:val="24"/>
        </w:rPr>
        <w:t>Etapas del Proceso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Denuncia o investigación de oficio por parte de la APDC.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Formulación de cargos al presunto infractor.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Período de descargos: el responsable puede presentar pruebas y argumentos.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Período probatorio e instrucción del expediente.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Resolución fundada de la APDC con la sanción o absolución.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Recursos: el sancionado puede recurrir ante los tribunales de justicia.</w:t>
      </w:r>
    </w:p>
    <w:p>
      <w:pPr>
        <w:spacing w:before="60" w:after="100"/>
        <w:ind w:left="283"/>
      </w:pPr>
      <w:r>
        <w:rPr>
          <w:b w:val="0"/>
          <w:i/>
          <w:color w:val="8C0000"/>
          <w:sz w:val="20"/>
        </w:rPr>
        <w:t>⚠  El procedimiento garantiza el debido proceso. La carga de la prueba del cumplimiento recae sobre el responsable del tratamiento (accountability), no sobre la autoridad.</w:t>
      </w:r>
    </w:p>
    <w:p>
      <w:pPr>
        <w:spacing w:before="200" w:after="80"/>
      </w:pPr>
      <w:r>
        <w:rPr>
          <w:b/>
          <w:i w:val="0"/>
          <w:color w:val="0070C0"/>
          <w:sz w:val="24"/>
        </w:rPr>
        <w:t>Criterios para Determinar la Sanción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Gravedad y duración de la infracción.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Naturaleza, alcance y finalidad del tratamiento de datos afectado.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Número de titulares perjudicados.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Medidas adoptadas para mitigar los daños.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Grado de responsabilidad del infractor.</w:t>
      </w:r>
    </w:p>
    <w:p>
      <w:pPr>
        <w:spacing w:before="40" w:after="40"/>
        <w:ind w:left="454"/>
      </w:pPr>
      <w:r>
        <w:rPr>
          <w:b w:val="0"/>
          <w:i w:val="0"/>
          <w:color w:val="000000"/>
          <w:sz w:val="21"/>
        </w:rPr>
        <w:t>• Beneficio económico obtenido o pérdidas evitadas.</w:t>
      </w:r>
    </w:p>
    <w:p>
      <w:pPr>
        <w:spacing w:before="80" w:after="80"/>
        <w:pBdr>
          <w:bottom w:val="single" w:sz="6" w:space="1" w:color="BFBFBF"/>
        </w:pBdr>
      </w:pPr>
    </w:p>
    <w:p>
      <w:pPr>
        <w:spacing w:before="280" w:after="80"/>
      </w:pPr>
      <w:r>
        <w:rPr>
          <w:b/>
          <w:i w:val="0"/>
          <w:color w:val="00467F"/>
          <w:sz w:val="28"/>
        </w:rPr>
        <w:t>CUADRO RESUMEN: ESCALA DE SANCIONES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Infracción</w:t>
            </w:r>
          </w:p>
        </w:tc>
        <w:tc>
          <w:tcPr>
            <w:tcW w:type="dxa" w:w="2835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Primera vez</w:t>
            </w:r>
          </w:p>
        </w:tc>
        <w:tc>
          <w:tcPr>
            <w:tcW w:type="dxa" w:w="3969"/>
            <w:shd w:val="clear" w:color="auto" w:fill="003F7F"/>
          </w:tcPr>
          <w:p>
            <w:r>
              <w:rPr>
                <w:b/>
                <w:i w:val="0"/>
                <w:color w:val="FFFFFF"/>
                <w:sz w:val="20"/>
              </w:rPr>
              <w:t>Con reincidencia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i w:val="0"/>
                <w:color w:val="000000"/>
                <w:sz w:val="20"/>
              </w:rPr>
              <w:t>Leve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color w:val="000000"/>
                <w:sz w:val="20"/>
              </w:rPr>
              <w:t>Hasta 5.000 UTM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color w:val="000000"/>
                <w:sz w:val="20"/>
              </w:rPr>
              <w:t>→ Se convierte en Grave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Grave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Hasta 10.000 UTM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→ Se convierte en Gravísima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i w:val="0"/>
                <w:color w:val="000000"/>
                <w:sz w:val="20"/>
              </w:rPr>
              <w:t>Gravísima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color w:val="000000"/>
                <w:sz w:val="20"/>
              </w:rPr>
              <w:t>Hasta 20.000 UTM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color w:val="000000"/>
                <w:sz w:val="20"/>
              </w:rPr>
              <w:t>→ 2% ingresos anuales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Gravísima reiterada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Hasta 20.000 UTM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b w:val="0"/>
                <w:i w:val="0"/>
                <w:color w:val="000000"/>
                <w:sz w:val="20"/>
              </w:rPr>
              <w:t>→ 4% ingresos anuales</w:t>
            </w:r>
          </w:p>
        </w:tc>
      </w:tr>
    </w:tbl>
    <w:p/>
    <w:p>
      <w:pPr>
        <w:spacing w:before="60" w:after="100"/>
        <w:ind w:left="283"/>
      </w:pPr>
      <w:r>
        <w:rPr>
          <w:b w:val="0"/>
          <w:i/>
          <w:color w:val="8C0000"/>
          <w:sz w:val="20"/>
        </w:rPr>
        <w:t>⚠  La comparación con el GDPR europeo indica que las multas de la Ley 21.719 son significativas pero moderadas respecto a las europeas (hasta el 4% de facturación global del GDPR). No obstante, la tendencia internacional es hacia el endurecimiento progresivo.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