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i w:val="0"/>
          <w:color w:val="00467F"/>
          <w:sz w:val="36"/>
        </w:rPr>
        <w:t>LEY 21.719 DE PROTECCIÓN DE DATOS PERSONALES</w:t>
      </w:r>
    </w:p>
    <w:p>
      <w:pPr>
        <w:jc w:val="center"/>
      </w:pPr>
      <w:r>
        <w:rPr>
          <w:b w:val="0"/>
          <w:i/>
          <w:color w:val="0070C0"/>
          <w:sz w:val="28"/>
        </w:rPr>
        <w:t>Módulo 6 · Apartado 3 — Casos Prácticos y Conclusiones</w:t>
      </w:r>
    </w:p>
    <w:p>
      <w:pPr>
        <w:jc w:val="center"/>
      </w:pPr>
      <w:r>
        <w:rPr>
          <w:b w:val="0"/>
          <w:i w:val="0"/>
          <w:color w:val="646464"/>
          <w:sz w:val="20"/>
        </w:rPr>
        <w:t>Instructor: Miguel Ángel Díaz  |  Ley 21.719 vigente desde 1° de diciembre de 2026</w:t>
      </w:r>
    </w:p>
    <w:p>
      <w:pPr>
        <w:spacing w:before="80" w:after="80"/>
        <w:pBdr>
          <w:bottom w:val="single" w:sz="6" w:space="1" w:color="BFBFBF"/>
        </w:pBdr>
      </w:pPr>
    </w:p>
    <w:p>
      <w:pPr>
        <w:spacing w:before="280" w:after="80"/>
      </w:pPr>
      <w:r>
        <w:rPr>
          <w:b/>
          <w:i w:val="0"/>
          <w:color w:val="00467F"/>
          <w:sz w:val="28"/>
        </w:rPr>
        <w:t>INTRODUCCIÓN: CASOS REALES DE INFRACCIONES GDPR</w:t>
      </w:r>
    </w:p>
    <w:p>
      <w:r>
        <w:rPr>
          <w:b w:val="0"/>
          <w:i w:val="0"/>
          <w:color w:val="000000"/>
          <w:sz w:val="21"/>
        </w:rPr>
        <w:t>El análisis de casos reales sancionados bajo el GDPR europeo permite comprender cómo se aplican en la práctica los principios y obligaciones de protección de datos. Estos casos son directamente trasladables al contexto chileno bajo la Ley 21.719, ya que comparten los mismos fundamentos normativos. Se presentan seis casos ilustrativos.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val="clear" w:color="auto" w:fill="003F7F"/>
          </w:tcPr>
          <w:p>
            <w:r>
              <w:rPr>
                <w:b/>
                <w:i w:val="0"/>
                <w:color w:val="FFFFFF"/>
                <w:sz w:val="20"/>
              </w:rPr>
              <w:t>#</w:t>
            </w:r>
          </w:p>
        </w:tc>
        <w:tc>
          <w:tcPr>
            <w:tcW w:type="dxa" w:w="3402"/>
            <w:shd w:val="clear" w:color="auto" w:fill="003F7F"/>
          </w:tcPr>
          <w:p>
            <w:r>
              <w:rPr>
                <w:b/>
                <w:i w:val="0"/>
                <w:color w:val="FFFFFF"/>
                <w:sz w:val="20"/>
              </w:rPr>
              <w:t>Caso</w:t>
            </w:r>
          </w:p>
        </w:tc>
        <w:tc>
          <w:tcPr>
            <w:tcW w:type="dxa" w:w="2835"/>
            <w:shd w:val="clear" w:color="auto" w:fill="003F7F"/>
          </w:tcPr>
          <w:p>
            <w:r>
              <w:rPr>
                <w:b/>
                <w:i w:val="0"/>
                <w:color w:val="FFFFFF"/>
                <w:sz w:val="20"/>
              </w:rPr>
              <w:t>Organización</w:t>
            </w:r>
          </w:p>
        </w:tc>
        <w:tc>
          <w:tcPr>
            <w:tcW w:type="dxa" w:w="2835"/>
            <w:shd w:val="clear" w:color="auto" w:fill="003F7F"/>
          </w:tcPr>
          <w:p>
            <w:r>
              <w:rPr>
                <w:b/>
                <w:i w:val="0"/>
                <w:color w:val="FFFFFF"/>
                <w:sz w:val="20"/>
              </w:rPr>
              <w:t>Sanción</w:t>
            </w:r>
          </w:p>
        </w:tc>
      </w:tr>
      <w:tr>
        <w:tc>
          <w:tcPr>
            <w:tcW w:type="dxa" w:w="567"/>
          </w:tcPr>
          <w:p>
            <w:r>
              <w:rPr>
                <w:b w:val="0"/>
                <w:i w:val="0"/>
                <w:color w:val="000000"/>
                <w:sz w:val="20"/>
              </w:rPr>
              <w:t>1</w:t>
            </w:r>
          </w:p>
        </w:tc>
        <w:tc>
          <w:tcPr>
            <w:tcW w:type="dxa" w:w="3402"/>
          </w:tcPr>
          <w:p>
            <w:r>
              <w:rPr>
                <w:b w:val="0"/>
                <w:i w:val="0"/>
                <w:color w:val="000000"/>
                <w:sz w:val="20"/>
              </w:rPr>
              <w:t>Transparencia — App Móvil</w:t>
            </w:r>
          </w:p>
        </w:tc>
        <w:tc>
          <w:tcPr>
            <w:tcW w:type="dxa" w:w="2835"/>
          </w:tcPr>
          <w:p>
            <w:r>
              <w:rPr>
                <w:b w:val="0"/>
                <w:i w:val="0"/>
                <w:color w:val="000000"/>
                <w:sz w:val="20"/>
              </w:rPr>
              <w:t>La Liga (España)</w:t>
            </w:r>
          </w:p>
        </w:tc>
        <w:tc>
          <w:tcPr>
            <w:tcW w:type="dxa" w:w="2835"/>
          </w:tcPr>
          <w:p>
            <w:r>
              <w:rPr>
                <w:b w:val="0"/>
                <w:i w:val="0"/>
                <w:color w:val="000000"/>
                <w:sz w:val="20"/>
              </w:rPr>
              <w:t>250.000 €</w:t>
            </w:r>
          </w:p>
        </w:tc>
      </w:tr>
      <w:tr>
        <w:tc>
          <w:tcPr>
            <w:tcW w:type="dxa" w:w="567"/>
            <w:shd w:val="clear" w:color="auto" w:fill="EBF3FB"/>
          </w:tcPr>
          <w:p>
            <w:r>
              <w:rPr>
                <w:b w:val="0"/>
                <w:i w:val="0"/>
                <w:color w:val="000000"/>
                <w:sz w:val="20"/>
              </w:rPr>
              <w:t>2</w:t>
            </w:r>
          </w:p>
        </w:tc>
        <w:tc>
          <w:tcPr>
            <w:tcW w:type="dxa" w:w="3402"/>
            <w:shd w:val="clear" w:color="auto" w:fill="EBF3FB"/>
          </w:tcPr>
          <w:p>
            <w:r>
              <w:rPr>
                <w:b w:val="0"/>
                <w:i w:val="0"/>
                <w:color w:val="000000"/>
                <w:sz w:val="20"/>
              </w:rPr>
              <w:t>Biometría sin EIPD</w:t>
            </w:r>
          </w:p>
        </w:tc>
        <w:tc>
          <w:tcPr>
            <w:tcW w:type="dxa" w:w="2835"/>
            <w:shd w:val="clear" w:color="auto" w:fill="EBF3FB"/>
          </w:tcPr>
          <w:p>
            <w:r>
              <w:rPr>
                <w:b w:val="0"/>
                <w:i w:val="0"/>
                <w:color w:val="000000"/>
                <w:sz w:val="20"/>
              </w:rPr>
              <w:t>La Liga (España)</w:t>
            </w:r>
          </w:p>
        </w:tc>
        <w:tc>
          <w:tcPr>
            <w:tcW w:type="dxa" w:w="2835"/>
            <w:shd w:val="clear" w:color="auto" w:fill="EBF3FB"/>
          </w:tcPr>
          <w:p>
            <w:r>
              <w:rPr>
                <w:b w:val="0"/>
                <w:i w:val="0"/>
                <w:color w:val="000000"/>
                <w:sz w:val="20"/>
              </w:rPr>
              <w:t>1.000.000 €</w:t>
            </w:r>
          </w:p>
        </w:tc>
      </w:tr>
      <w:tr>
        <w:tc>
          <w:tcPr>
            <w:tcW w:type="dxa" w:w="567"/>
          </w:tcPr>
          <w:p>
            <w:r>
              <w:rPr>
                <w:b w:val="0"/>
                <w:i w:val="0"/>
                <w:color w:val="000000"/>
                <w:sz w:val="20"/>
              </w:rPr>
              <w:t>3</w:t>
            </w:r>
          </w:p>
        </w:tc>
        <w:tc>
          <w:tcPr>
            <w:tcW w:type="dxa" w:w="3402"/>
          </w:tcPr>
          <w:p>
            <w:r>
              <w:rPr>
                <w:b w:val="0"/>
                <w:i w:val="0"/>
                <w:color w:val="000000"/>
                <w:sz w:val="20"/>
              </w:rPr>
              <w:t>Spoofing — correo no solicitado</w:t>
            </w:r>
          </w:p>
        </w:tc>
        <w:tc>
          <w:tcPr>
            <w:tcW w:type="dxa" w:w="2835"/>
          </w:tcPr>
          <w:p>
            <w:r>
              <w:rPr>
                <w:b w:val="0"/>
                <w:i w:val="0"/>
                <w:color w:val="000000"/>
                <w:sz w:val="20"/>
              </w:rPr>
              <w:t>Empresa anónima (España)</w:t>
            </w:r>
          </w:p>
        </w:tc>
        <w:tc>
          <w:tcPr>
            <w:tcW w:type="dxa" w:w="2835"/>
          </w:tcPr>
          <w:p>
            <w:r>
              <w:rPr>
                <w:b w:val="0"/>
                <w:i w:val="0"/>
                <w:color w:val="000000"/>
                <w:sz w:val="20"/>
              </w:rPr>
              <w:t>2.000 €</w:t>
            </w:r>
          </w:p>
        </w:tc>
      </w:tr>
      <w:tr>
        <w:tc>
          <w:tcPr>
            <w:tcW w:type="dxa" w:w="567"/>
            <w:shd w:val="clear" w:color="auto" w:fill="EBF3FB"/>
          </w:tcPr>
          <w:p>
            <w:r>
              <w:rPr>
                <w:b w:val="0"/>
                <w:i w:val="0"/>
                <w:color w:val="000000"/>
                <w:sz w:val="20"/>
              </w:rPr>
              <w:t>4</w:t>
            </w:r>
          </w:p>
        </w:tc>
        <w:tc>
          <w:tcPr>
            <w:tcW w:type="dxa" w:w="3402"/>
            <w:shd w:val="clear" w:color="auto" w:fill="EBF3FB"/>
          </w:tcPr>
          <w:p>
            <w:r>
              <w:rPr>
                <w:b w:val="0"/>
                <w:i w:val="0"/>
                <w:color w:val="000000"/>
                <w:sz w:val="20"/>
              </w:rPr>
              <w:t>Control laboral biométrico</w:t>
            </w:r>
          </w:p>
        </w:tc>
        <w:tc>
          <w:tcPr>
            <w:tcW w:type="dxa" w:w="2835"/>
            <w:shd w:val="clear" w:color="auto" w:fill="EBF3FB"/>
          </w:tcPr>
          <w:p>
            <w:r>
              <w:rPr>
                <w:b w:val="0"/>
                <w:i w:val="0"/>
                <w:color w:val="000000"/>
                <w:sz w:val="20"/>
              </w:rPr>
              <w:t>Martorell Siglo XXI (España)</w:t>
            </w:r>
          </w:p>
        </w:tc>
        <w:tc>
          <w:tcPr>
            <w:tcW w:type="dxa" w:w="2835"/>
            <w:shd w:val="clear" w:color="auto" w:fill="EBF3FB"/>
          </w:tcPr>
          <w:p>
            <w:r>
              <w:rPr>
                <w:b w:val="0"/>
                <w:i w:val="0"/>
                <w:color w:val="000000"/>
                <w:sz w:val="20"/>
              </w:rPr>
              <w:t>Sanción AEPD</w:t>
            </w:r>
          </w:p>
        </w:tc>
      </w:tr>
      <w:tr>
        <w:tc>
          <w:tcPr>
            <w:tcW w:type="dxa" w:w="567"/>
          </w:tcPr>
          <w:p>
            <w:r>
              <w:rPr>
                <w:b w:val="0"/>
                <w:i w:val="0"/>
                <w:color w:val="000000"/>
                <w:sz w:val="20"/>
              </w:rPr>
              <w:t>5</w:t>
            </w:r>
          </w:p>
        </w:tc>
        <w:tc>
          <w:tcPr>
            <w:tcW w:type="dxa" w:w="3402"/>
          </w:tcPr>
          <w:p>
            <w:r>
              <w:rPr>
                <w:b w:val="0"/>
                <w:i w:val="0"/>
                <w:color w:val="000000"/>
                <w:sz w:val="20"/>
              </w:rPr>
              <w:t>Subcontratación sin contrato formal</w:t>
            </w:r>
          </w:p>
        </w:tc>
        <w:tc>
          <w:tcPr>
            <w:tcW w:type="dxa" w:w="2835"/>
          </w:tcPr>
          <w:p>
            <w:r>
              <w:rPr>
                <w:b w:val="0"/>
                <w:i w:val="0"/>
                <w:color w:val="000000"/>
                <w:sz w:val="20"/>
              </w:rPr>
              <w:t>Informática Médica (España)</w:t>
            </w:r>
          </w:p>
        </w:tc>
        <w:tc>
          <w:tcPr>
            <w:tcW w:type="dxa" w:w="2835"/>
          </w:tcPr>
          <w:p>
            <w:r>
              <w:rPr>
                <w:b w:val="0"/>
                <w:i w:val="0"/>
                <w:color w:val="000000"/>
                <w:sz w:val="20"/>
              </w:rPr>
              <w:t>Sanción AEPD</w:t>
            </w:r>
          </w:p>
        </w:tc>
      </w:tr>
      <w:tr>
        <w:tc>
          <w:tcPr>
            <w:tcW w:type="dxa" w:w="567"/>
            <w:shd w:val="clear" w:color="auto" w:fill="EBF3FB"/>
          </w:tcPr>
          <w:p>
            <w:r>
              <w:rPr>
                <w:b w:val="0"/>
                <w:i w:val="0"/>
                <w:color w:val="000000"/>
                <w:sz w:val="20"/>
              </w:rPr>
              <w:t>6</w:t>
            </w:r>
          </w:p>
        </w:tc>
        <w:tc>
          <w:tcPr>
            <w:tcW w:type="dxa" w:w="3402"/>
            <w:shd w:val="clear" w:color="auto" w:fill="EBF3FB"/>
          </w:tcPr>
          <w:p>
            <w:r>
              <w:rPr>
                <w:b w:val="0"/>
                <w:i w:val="0"/>
                <w:color w:val="000000"/>
                <w:sz w:val="20"/>
              </w:rPr>
              <w:t>Derecho al olvido — imágenes</w:t>
            </w:r>
          </w:p>
        </w:tc>
        <w:tc>
          <w:tcPr>
            <w:tcW w:type="dxa" w:w="2835"/>
            <w:shd w:val="clear" w:color="auto" w:fill="EBF3FB"/>
          </w:tcPr>
          <w:p>
            <w:r>
              <w:rPr>
                <w:b w:val="0"/>
                <w:i w:val="0"/>
                <w:color w:val="000000"/>
                <w:sz w:val="20"/>
              </w:rPr>
              <w:t>Educando Juntos SL (España)</w:t>
            </w:r>
          </w:p>
        </w:tc>
        <w:tc>
          <w:tcPr>
            <w:tcW w:type="dxa" w:w="2835"/>
            <w:shd w:val="clear" w:color="auto" w:fill="EBF3FB"/>
          </w:tcPr>
          <w:p>
            <w:r>
              <w:rPr>
                <w:b w:val="0"/>
                <w:i w:val="0"/>
                <w:color w:val="000000"/>
                <w:sz w:val="20"/>
              </w:rPr>
              <w:t>Sanción AEPD</w:t>
            </w:r>
          </w:p>
        </w:tc>
      </w:tr>
    </w:tbl>
    <w:p/>
    <w:p>
      <w:pPr>
        <w:spacing w:before="280" w:after="80"/>
      </w:pPr>
      <w:r>
        <w:rPr>
          <w:b/>
          <w:i w:val="0"/>
          <w:color w:val="00467F"/>
          <w:sz w:val="28"/>
        </w:rPr>
        <w:t>CASO 1 — LA LIGA: TRANSPARENCIA Y APP MÓVIL (250.000 €)</w:t>
      </w:r>
    </w:p>
    <w:p>
      <w:pPr>
        <w:spacing w:before="200" w:after="80"/>
      </w:pPr>
      <w:r>
        <w:rPr>
          <w:b/>
          <w:i w:val="0"/>
          <w:color w:val="0070C0"/>
          <w:sz w:val="24"/>
        </w:rPr>
        <w:t>Descripción del Caso</w:t>
      </w:r>
    </w:p>
    <w:p>
      <w:r>
        <w:rPr>
          <w:b w:val="0"/>
          <w:i w:val="0"/>
          <w:color w:val="000000"/>
          <w:sz w:val="21"/>
        </w:rPr>
        <w:t>En junio de 2019, La Liga (organización del fútbol profesional español) fue sancionada por la Agencia Española de Protección de Datos (AEPD) por violar el principio de transparencia a través de su aplicación móvil, utilizada para detectar establecimientos que emitían partidos de forma pirata.</w:t>
      </w:r>
    </w:p>
    <w:p>
      <w:pPr>
        <w:spacing w:before="200" w:after="80"/>
      </w:pPr>
      <w:r>
        <w:rPr>
          <w:b/>
          <w:i w:val="0"/>
          <w:color w:val="0070C0"/>
          <w:sz w:val="24"/>
        </w:rPr>
        <w:t>Hechos Probados</w:t>
      </w:r>
    </w:p>
    <w:p>
      <w:pPr>
        <w:spacing w:before="40" w:after="40"/>
        <w:ind w:left="454"/>
      </w:pPr>
      <w:r>
        <w:rPr>
          <w:b w:val="0"/>
          <w:i w:val="0"/>
          <w:color w:val="000000"/>
          <w:sz w:val="21"/>
        </w:rPr>
        <w:t>• La app accedía al micrófono del teléfono tras obtener un consentimiento genérico.</w:t>
      </w:r>
    </w:p>
    <w:p>
      <w:pPr>
        <w:spacing w:before="40" w:after="40"/>
        <w:ind w:left="454"/>
      </w:pPr>
      <w:r>
        <w:rPr>
          <w:b w:val="0"/>
          <w:i w:val="0"/>
          <w:color w:val="000000"/>
          <w:sz w:val="21"/>
        </w:rPr>
        <w:t>• Capturaba el audio ambiente durante los partidos (5 segundos por minuto).</w:t>
      </w:r>
    </w:p>
    <w:p>
      <w:pPr>
        <w:spacing w:before="40" w:after="40"/>
        <w:ind w:left="454"/>
      </w:pPr>
      <w:r>
        <w:rPr>
          <w:b w:val="0"/>
          <w:i w:val="0"/>
          <w:color w:val="000000"/>
          <w:sz w:val="21"/>
        </w:rPr>
        <w:t>• Usaba geolocalización para determinar si el usuario estaba en un local público.</w:t>
      </w:r>
    </w:p>
    <w:p>
      <w:pPr>
        <w:spacing w:before="40" w:after="40"/>
        <w:ind w:left="454"/>
      </w:pPr>
      <w:r>
        <w:rPr>
          <w:b w:val="0"/>
          <w:i w:val="0"/>
          <w:color w:val="000000"/>
          <w:sz w:val="21"/>
        </w:rPr>
        <w:t>• La finalidad real (detectar piratería) no estaba informada de forma clara.</w:t>
      </w:r>
    </w:p>
    <w:p>
      <w:pPr>
        <w:spacing w:before="40" w:after="40"/>
        <w:ind w:left="454"/>
      </w:pPr>
      <w:r>
        <w:rPr>
          <w:b w:val="0"/>
          <w:i w:val="0"/>
          <w:color w:val="000000"/>
          <w:sz w:val="21"/>
        </w:rPr>
        <w:t>• No existía un mecanismo sencillo para retirar el consentimiento.</w:t>
      </w:r>
    </w:p>
    <w:p>
      <w:pPr>
        <w:spacing w:before="200" w:after="80"/>
      </w:pPr>
      <w:r>
        <w:rPr>
          <w:b/>
          <w:i w:val="0"/>
          <w:color w:val="0070C0"/>
          <w:sz w:val="24"/>
        </w:rPr>
        <w:t>Infracciones Identificadas</w:t>
      </w:r>
    </w:p>
    <w:p>
      <w:pPr>
        <w:spacing w:before="40" w:after="40"/>
        <w:ind w:left="454"/>
      </w:pPr>
      <w:r>
        <w:rPr>
          <w:b w:val="0"/>
          <w:i w:val="0"/>
          <w:color w:val="000000"/>
          <w:sz w:val="21"/>
        </w:rPr>
        <w:t>• Art. 5.1 GDPR: violación del principio de transparencia, licitud y lealtad.</w:t>
      </w:r>
    </w:p>
    <w:p>
      <w:pPr>
        <w:spacing w:before="40" w:after="40"/>
        <w:ind w:left="454"/>
      </w:pPr>
      <w:r>
        <w:rPr>
          <w:b w:val="0"/>
          <w:i w:val="0"/>
          <w:color w:val="000000"/>
          <w:sz w:val="21"/>
        </w:rPr>
        <w:t>• Art. 7.3 GDPR: falta de mecanismo sencillo para retirar el consentimiento.</w:t>
      </w:r>
    </w:p>
    <w:p>
      <w:pPr>
        <w:spacing w:before="200" w:after="80"/>
      </w:pPr>
      <w:r>
        <w:rPr>
          <w:b/>
          <w:i w:val="0"/>
          <w:color w:val="0070C0"/>
          <w:sz w:val="24"/>
        </w:rPr>
        <w:t>Lecciones Aprendidas</w:t>
      </w:r>
    </w:p>
    <w:p>
      <w:pPr>
        <w:spacing w:before="40" w:after="40"/>
        <w:ind w:left="454"/>
      </w:pPr>
      <w:r>
        <w:rPr>
          <w:b w:val="0"/>
          <w:i w:val="0"/>
          <w:color w:val="000000"/>
          <w:sz w:val="21"/>
        </w:rPr>
        <w:t>• El consentimiento debe ser específico para cada finalidad, no genérico.</w:t>
      </w:r>
    </w:p>
    <w:p>
      <w:pPr>
        <w:spacing w:before="40" w:after="40"/>
        <w:ind w:left="454"/>
      </w:pPr>
      <w:r>
        <w:rPr>
          <w:b w:val="0"/>
          <w:i w:val="0"/>
          <w:color w:val="000000"/>
          <w:sz w:val="21"/>
        </w:rPr>
        <w:t>• La finalidad del tratamiento debe comunicarse de forma clara y accesible.</w:t>
      </w:r>
    </w:p>
    <w:p>
      <w:pPr>
        <w:spacing w:before="40" w:after="40"/>
        <w:ind w:left="454"/>
      </w:pPr>
      <w:r>
        <w:rPr>
          <w:b w:val="0"/>
          <w:i w:val="0"/>
          <w:color w:val="000000"/>
          <w:sz w:val="21"/>
        </w:rPr>
        <w:t>• Retirar el consentimiento debe ser tan simple como otorgarlo.</w:t>
      </w:r>
    </w:p>
    <w:p>
      <w:pPr>
        <w:spacing w:before="60" w:after="100"/>
        <w:ind w:left="283"/>
      </w:pPr>
      <w:r>
        <w:rPr>
          <w:b w:val="0"/>
          <w:i/>
          <w:color w:val="8C0000"/>
          <w:sz w:val="20"/>
        </w:rPr>
        <w:t>⚠  Este caso aplica íntegramente en Chile: el Art. 14 de la Ley 21.719 exige que el consentimiento sea específico, libre, informado y revocable de forma sencilla.</w:t>
      </w:r>
    </w:p>
    <w:p>
      <w:pPr>
        <w:spacing w:before="80" w:after="80"/>
        <w:pBdr>
          <w:bottom w:val="single" w:sz="6" w:space="1" w:color="BFBFBF"/>
        </w:pBdr>
      </w:pPr>
    </w:p>
    <w:p>
      <w:pPr>
        <w:spacing w:before="280" w:after="80"/>
      </w:pPr>
      <w:r>
        <w:rPr>
          <w:b/>
          <w:i w:val="0"/>
          <w:color w:val="00467F"/>
          <w:sz w:val="28"/>
        </w:rPr>
        <w:t>CASO 2 — LA LIGA: BIOMETRÍA EN ESTADIOS SIN EIPD (1.000.000 €)</w:t>
      </w:r>
    </w:p>
    <w:p>
      <w:pPr>
        <w:spacing w:before="200" w:after="80"/>
      </w:pPr>
      <w:r>
        <w:rPr>
          <w:b/>
          <w:i w:val="0"/>
          <w:color w:val="0070C0"/>
          <w:sz w:val="24"/>
        </w:rPr>
        <w:t>Descripción del Caso</w:t>
      </w:r>
    </w:p>
    <w:p>
      <w:r>
        <w:rPr>
          <w:b w:val="0"/>
          <w:i w:val="0"/>
          <w:color w:val="000000"/>
          <w:sz w:val="21"/>
        </w:rPr>
        <w:t>En 2025, La Liga fue sancionada nuevamente por implementar sistemas de reconocimiento facial y huella dactilar para el control de acceso a estadios, gestionados por los clubes afiliados, sin haber realizado previamente una Evaluación de Impacto en Protección de Datos (EIPD/DPIA).</w:t>
      </w:r>
    </w:p>
    <w:p>
      <w:pPr>
        <w:spacing w:before="200" w:after="80"/>
      </w:pPr>
      <w:r>
        <w:rPr>
          <w:b/>
          <w:i w:val="0"/>
          <w:color w:val="0070C0"/>
          <w:sz w:val="24"/>
        </w:rPr>
        <w:t>Hechos Probados</w:t>
      </w:r>
    </w:p>
    <w:p>
      <w:pPr>
        <w:spacing w:before="40" w:after="40"/>
        <w:ind w:left="454"/>
      </w:pPr>
      <w:r>
        <w:rPr>
          <w:b w:val="0"/>
          <w:i w:val="0"/>
          <w:color w:val="000000"/>
          <w:sz w:val="21"/>
        </w:rPr>
        <w:t>• Se instalaron sistemas biométricos (rostro y huella) en accesos a estadios.</w:t>
      </w:r>
    </w:p>
    <w:p>
      <w:pPr>
        <w:spacing w:before="40" w:after="40"/>
        <w:ind w:left="454"/>
      </w:pPr>
      <w:r>
        <w:rPr>
          <w:b w:val="0"/>
          <w:i w:val="0"/>
          <w:color w:val="000000"/>
          <w:sz w:val="21"/>
        </w:rPr>
        <w:t>• No se realizó una EIPD antes del tratamiento, exigida por Art. 35 GDPR.</w:t>
      </w:r>
    </w:p>
    <w:p>
      <w:pPr>
        <w:spacing w:before="40" w:after="40"/>
        <w:ind w:left="454"/>
      </w:pPr>
      <w:r>
        <w:rPr>
          <w:b w:val="0"/>
          <w:i w:val="0"/>
          <w:color w:val="000000"/>
          <w:sz w:val="21"/>
        </w:rPr>
        <w:t>• No se justificó la necesidad y proporcionalidad del sistema biométrico.</w:t>
      </w:r>
    </w:p>
    <w:p>
      <w:pPr>
        <w:spacing w:before="40" w:after="40"/>
        <w:ind w:left="454"/>
      </w:pPr>
      <w:r>
        <w:rPr>
          <w:b w:val="0"/>
          <w:i w:val="0"/>
          <w:color w:val="000000"/>
          <w:sz w:val="21"/>
        </w:rPr>
        <w:t>• Existían alternativas menos intrusivas (abono, DNI, código QR).</w:t>
      </w:r>
    </w:p>
    <w:p>
      <w:pPr>
        <w:spacing w:before="40" w:after="40"/>
        <w:ind w:left="454"/>
      </w:pPr>
      <w:r>
        <w:rPr>
          <w:b w:val="0"/>
          <w:i w:val="0"/>
          <w:color w:val="000000"/>
          <w:sz w:val="21"/>
        </w:rPr>
        <w:t>• La Liga alegó que la responsabilidad era de los clubes, pero la AEPD la rechazó.</w:t>
      </w:r>
    </w:p>
    <w:p>
      <w:pPr>
        <w:spacing w:before="200" w:after="80"/>
      </w:pPr>
      <w:r>
        <w:rPr>
          <w:b/>
          <w:i w:val="0"/>
          <w:color w:val="0070C0"/>
          <w:sz w:val="24"/>
        </w:rPr>
        <w:t>Infracciones Identificadas</w:t>
      </w:r>
    </w:p>
    <w:p>
      <w:pPr>
        <w:spacing w:before="40" w:after="40"/>
        <w:ind w:left="454"/>
      </w:pPr>
      <w:r>
        <w:rPr>
          <w:b w:val="0"/>
          <w:i w:val="0"/>
          <w:color w:val="000000"/>
          <w:sz w:val="21"/>
        </w:rPr>
        <w:t>• Art. 35 GDPR: omisión de la EIPD obligatoria para datos biométricos.</w:t>
      </w:r>
    </w:p>
    <w:p>
      <w:pPr>
        <w:spacing w:before="40" w:after="40"/>
        <w:ind w:left="454"/>
      </w:pPr>
      <w:r>
        <w:rPr>
          <w:b w:val="0"/>
          <w:i w:val="0"/>
          <w:color w:val="000000"/>
          <w:sz w:val="21"/>
        </w:rPr>
        <w:t>• Art. 9 GDPR: tratamiento de datos de categoría especial sin garantías suficientes.</w:t>
      </w:r>
    </w:p>
    <w:p>
      <w:pPr>
        <w:spacing w:before="40" w:after="40"/>
        <w:ind w:left="454"/>
      </w:pPr>
      <w:r>
        <w:rPr>
          <w:b w:val="0"/>
          <w:i w:val="0"/>
          <w:color w:val="000000"/>
          <w:sz w:val="21"/>
        </w:rPr>
        <w:t>• Falta de análisis de necesidad y proporcionalidad.</w:t>
      </w:r>
    </w:p>
    <w:p>
      <w:pPr>
        <w:spacing w:before="200" w:after="80"/>
      </w:pPr>
      <w:r>
        <w:rPr>
          <w:b/>
          <w:i w:val="0"/>
          <w:color w:val="0070C0"/>
          <w:sz w:val="24"/>
        </w:rPr>
        <w:t>Lecciones Aprendidas</w:t>
      </w:r>
    </w:p>
    <w:p>
      <w:pPr>
        <w:spacing w:before="40" w:after="40"/>
        <w:ind w:left="454"/>
      </w:pPr>
      <w:r>
        <w:rPr>
          <w:b w:val="0"/>
          <w:i w:val="0"/>
          <w:color w:val="000000"/>
          <w:sz w:val="21"/>
        </w:rPr>
        <w:t>• La EIPD es OBLIGATORIA cuando se tratan datos biométricos (datos sensibles).</w:t>
      </w:r>
    </w:p>
    <w:p>
      <w:pPr>
        <w:spacing w:before="40" w:after="40"/>
        <w:ind w:left="454"/>
      </w:pPr>
      <w:r>
        <w:rPr>
          <w:b w:val="0"/>
          <w:i w:val="0"/>
          <w:color w:val="000000"/>
          <w:sz w:val="21"/>
        </w:rPr>
        <w:t>• La responsabilidad no se puede delegar a terceros (clubes, proveedores).</w:t>
      </w:r>
    </w:p>
    <w:p>
      <w:pPr>
        <w:spacing w:before="40" w:after="40"/>
        <w:ind w:left="454"/>
      </w:pPr>
      <w:r>
        <w:rPr>
          <w:b w:val="0"/>
          <w:i w:val="0"/>
          <w:color w:val="000000"/>
          <w:sz w:val="21"/>
        </w:rPr>
        <w:t>• Los datos biométricos son irreversibles: si se filtran, el daño es permanente.</w:t>
      </w:r>
    </w:p>
    <w:p>
      <w:pPr>
        <w:spacing w:before="60" w:after="100"/>
        <w:ind w:left="283"/>
      </w:pPr>
      <w:r>
        <w:rPr>
          <w:b w:val="0"/>
          <w:i/>
          <w:color w:val="8C0000"/>
          <w:sz w:val="20"/>
        </w:rPr>
        <w:t>⚠  En Chile, el Art. 15 bis de la Ley 21.719 exige EIPD cuando el tratamiento pueda generar alto riesgo para los derechos de los titulares. Los datos biométricos siempre requieren esta evaluación.</w:t>
      </w:r>
    </w:p>
    <w:p>
      <w:pPr>
        <w:spacing w:before="80" w:after="80"/>
        <w:pBdr>
          <w:bottom w:val="single" w:sz="6" w:space="1" w:color="BFBFBF"/>
        </w:pBdr>
      </w:pPr>
    </w:p>
    <w:p>
      <w:pPr>
        <w:spacing w:before="280" w:after="80"/>
      </w:pPr>
      <w:r>
        <w:rPr>
          <w:b/>
          <w:i w:val="0"/>
          <w:color w:val="00467F"/>
          <w:sz w:val="28"/>
        </w:rPr>
        <w:t>CASO 3 — SPOOFING: CORREO COMERCIAL NO SOLICITADO (2.000 €)</w:t>
      </w:r>
    </w:p>
    <w:p>
      <w:pPr>
        <w:spacing w:before="200" w:after="80"/>
      </w:pPr>
      <w:r>
        <w:rPr>
          <w:b/>
          <w:i w:val="0"/>
          <w:color w:val="0070C0"/>
          <w:sz w:val="24"/>
        </w:rPr>
        <w:t>Descripción del Caso</w:t>
      </w:r>
    </w:p>
    <w:p>
      <w:r>
        <w:rPr>
          <w:b w:val="0"/>
          <w:i w:val="0"/>
          <w:color w:val="000000"/>
          <w:sz w:val="21"/>
        </w:rPr>
        <w:t>Una empresa española fue sancionada por la AEPD por enviar comunicaciones comerciales no solicitadas. La empresa alegó ser víctima de spoofing (suplantación de identidad de su dominio por terceros), pero la agencia rechazó esta defensa.</w:t>
      </w:r>
    </w:p>
    <w:p>
      <w:pPr>
        <w:spacing w:before="200" w:after="80"/>
      </w:pPr>
      <w:r>
        <w:rPr>
          <w:b/>
          <w:i w:val="0"/>
          <w:color w:val="0070C0"/>
          <w:sz w:val="24"/>
        </w:rPr>
        <w:t>Hechos Probados</w:t>
      </w:r>
    </w:p>
    <w:p>
      <w:pPr>
        <w:spacing w:before="40" w:after="40"/>
        <w:ind w:left="454"/>
      </w:pPr>
      <w:r>
        <w:rPr>
          <w:b w:val="0"/>
          <w:i w:val="0"/>
          <w:color w:val="000000"/>
          <w:sz w:val="21"/>
        </w:rPr>
        <w:t>• Un ciudadano recibió correo comercial de una empresa con la que no tenía relación.</w:t>
      </w:r>
    </w:p>
    <w:p>
      <w:pPr>
        <w:spacing w:before="40" w:after="40"/>
        <w:ind w:left="454"/>
      </w:pPr>
      <w:r>
        <w:rPr>
          <w:b w:val="0"/>
          <w:i w:val="0"/>
          <w:color w:val="000000"/>
          <w:sz w:val="21"/>
        </w:rPr>
        <w:t>• La AEPD confirmó que el correo provenía del dominio de la empresa.</w:t>
      </w:r>
    </w:p>
    <w:p>
      <w:pPr>
        <w:spacing w:before="40" w:after="40"/>
        <w:ind w:left="454"/>
      </w:pPr>
      <w:r>
        <w:rPr>
          <w:b w:val="0"/>
          <w:i w:val="0"/>
          <w:color w:val="000000"/>
          <w:sz w:val="21"/>
        </w:rPr>
        <w:t>• La empresa no había configurado su dominio con medidas antiplagio (SPF, DKIM, DMARC).</w:t>
      </w:r>
    </w:p>
    <w:p>
      <w:pPr>
        <w:spacing w:before="40" w:after="40"/>
        <w:ind w:left="454"/>
      </w:pPr>
      <w:r>
        <w:rPr>
          <w:b w:val="0"/>
          <w:i w:val="0"/>
          <w:color w:val="000000"/>
          <w:sz w:val="21"/>
        </w:rPr>
        <w:t>• Se trató la dirección de correo del denunciante sin base jurídica válida.</w:t>
      </w:r>
    </w:p>
    <w:p>
      <w:pPr>
        <w:spacing w:before="200" w:after="80"/>
      </w:pPr>
      <w:r>
        <w:rPr>
          <w:b/>
          <w:i w:val="0"/>
          <w:color w:val="0070C0"/>
          <w:sz w:val="24"/>
        </w:rPr>
        <w:t>Defensa Rechazada</w:t>
      </w:r>
    </w:p>
    <w:p>
      <w:pPr>
        <w:spacing w:before="40" w:after="40"/>
        <w:ind w:left="454"/>
      </w:pPr>
      <w:r>
        <w:rPr>
          <w:b w:val="0"/>
          <w:i w:val="0"/>
          <w:color w:val="000000"/>
          <w:sz w:val="21"/>
        </w:rPr>
        <w:t>• La empresa alegó que terceros malintencionados usaron su dominio indebidamente.</w:t>
      </w:r>
    </w:p>
    <w:p>
      <w:pPr>
        <w:spacing w:before="40" w:after="40"/>
        <w:ind w:left="454"/>
      </w:pPr>
      <w:r>
        <w:rPr>
          <w:b w:val="0"/>
          <w:i w:val="0"/>
          <w:color w:val="000000"/>
          <w:sz w:val="21"/>
        </w:rPr>
        <w:t>• La AEPD consideró que la falta de medidas de seguridad en el dominio era negligencia.</w:t>
      </w:r>
    </w:p>
    <w:p>
      <w:pPr>
        <w:spacing w:before="40" w:after="40"/>
        <w:ind w:left="454"/>
      </w:pPr>
      <w:r>
        <w:rPr>
          <w:b w:val="0"/>
          <w:i w:val="0"/>
          <w:color w:val="000000"/>
          <w:sz w:val="21"/>
        </w:rPr>
        <w:t>• La responsabilidad existe aunque el envío no fuera intencional.</w:t>
      </w:r>
    </w:p>
    <w:p>
      <w:pPr>
        <w:spacing w:before="200" w:after="80"/>
      </w:pPr>
      <w:r>
        <w:rPr>
          <w:b/>
          <w:i w:val="0"/>
          <w:color w:val="0070C0"/>
          <w:sz w:val="24"/>
        </w:rPr>
        <w:t>Infracciones Identificadas</w:t>
      </w:r>
    </w:p>
    <w:p>
      <w:pPr>
        <w:spacing w:before="40" w:after="40"/>
        <w:ind w:left="454"/>
      </w:pPr>
      <w:r>
        <w:rPr>
          <w:b w:val="0"/>
          <w:i w:val="0"/>
          <w:color w:val="000000"/>
          <w:sz w:val="21"/>
        </w:rPr>
        <w:t>• Art. 6.1 GDPR: tratamiento de datos sin base jurídica válida.</w:t>
      </w:r>
    </w:p>
    <w:p>
      <w:pPr>
        <w:spacing w:before="40" w:after="40"/>
        <w:ind w:left="454"/>
      </w:pPr>
      <w:r>
        <w:rPr>
          <w:b w:val="0"/>
          <w:i w:val="0"/>
          <w:color w:val="000000"/>
          <w:sz w:val="21"/>
        </w:rPr>
        <w:t>• Factor agravante: ausencia de medidas técnicas y organizativas adecuadas.</w:t>
      </w:r>
    </w:p>
    <w:p>
      <w:pPr>
        <w:spacing w:before="200" w:after="80"/>
      </w:pPr>
      <w:r>
        <w:rPr>
          <w:b/>
          <w:i w:val="0"/>
          <w:color w:val="0070C0"/>
          <w:sz w:val="24"/>
        </w:rPr>
        <w:t>Lección Técnica Clave</w:t>
      </w:r>
    </w:p>
    <w:p>
      <w:pPr>
        <w:spacing w:before="40" w:after="40"/>
        <w:ind w:left="454"/>
      </w:pPr>
      <w:r>
        <w:rPr>
          <w:b w:val="0"/>
          <w:i w:val="0"/>
          <w:color w:val="000000"/>
          <w:sz w:val="21"/>
        </w:rPr>
        <w:t>• SPF (Sender Policy Framework): lista los servidores autorizados a enviar correo del dominio.</w:t>
      </w:r>
    </w:p>
    <w:p>
      <w:pPr>
        <w:spacing w:before="40" w:after="40"/>
        <w:ind w:left="454"/>
      </w:pPr>
      <w:r>
        <w:rPr>
          <w:b w:val="0"/>
          <w:i w:val="0"/>
          <w:color w:val="000000"/>
          <w:sz w:val="21"/>
        </w:rPr>
        <w:t>• DKIM (DomainKeys Identified Mail): firma digital que verifica el origen del correo.</w:t>
      </w:r>
    </w:p>
    <w:p>
      <w:pPr>
        <w:spacing w:before="40" w:after="40"/>
        <w:ind w:left="454"/>
      </w:pPr>
      <w:r>
        <w:rPr>
          <w:b w:val="0"/>
          <w:i w:val="0"/>
          <w:color w:val="000000"/>
          <w:sz w:val="21"/>
        </w:rPr>
        <w:t>• DMARC: política que combina SPF y DKIM para prevenir el spoofing.</w:t>
      </w:r>
    </w:p>
    <w:p>
      <w:pPr>
        <w:spacing w:before="60" w:after="100"/>
        <w:ind w:left="283"/>
      </w:pPr>
      <w:r>
        <w:rPr>
          <w:b w:val="0"/>
          <w:i/>
          <w:color w:val="8C0000"/>
          <w:sz w:val="20"/>
        </w:rPr>
        <w:t>⚠  La vulneración del GDPR es suficiente para la infracción, independientemente del daño real causado. La negligencia en seguridad genera responsabilidad aunque no haya dolo.</w:t>
      </w:r>
    </w:p>
    <w:p>
      <w:pPr>
        <w:spacing w:before="80" w:after="80"/>
        <w:pBdr>
          <w:bottom w:val="single" w:sz="6" w:space="1" w:color="BFBFBF"/>
        </w:pBdr>
      </w:pPr>
    </w:p>
    <w:p>
      <w:pPr>
        <w:spacing w:before="280" w:after="80"/>
      </w:pPr>
      <w:r>
        <w:rPr>
          <w:b/>
          <w:i w:val="0"/>
          <w:color w:val="00467F"/>
          <w:sz w:val="28"/>
        </w:rPr>
        <w:t>CASO 4 — CONTROL LABORAL BIOMÉTRICO (MARTORELL SIGLO XXI)</w:t>
      </w:r>
    </w:p>
    <w:p>
      <w:pPr>
        <w:spacing w:before="200" w:after="80"/>
      </w:pPr>
      <w:r>
        <w:rPr>
          <w:b/>
          <w:i w:val="0"/>
          <w:color w:val="0070C0"/>
          <w:sz w:val="24"/>
        </w:rPr>
        <w:t>Descripción del Caso</w:t>
      </w:r>
    </w:p>
    <w:p>
      <w:r>
        <w:rPr>
          <w:b w:val="0"/>
          <w:i w:val="0"/>
          <w:color w:val="000000"/>
          <w:sz w:val="21"/>
        </w:rPr>
        <w:t>Martorell Siglo XXI, empresa logística española, implementó terminales biométricos de huella dactilar para el control de asistencia de trabajadores, reemplazando el sistema de tarjetas. Un sindicato presentó reclamación ante la AEPD argumentando que el sistema era desproporcionado y carecía de base legal adecuada.</w:t>
      </w:r>
    </w:p>
    <w:p>
      <w:pPr>
        <w:spacing w:before="200" w:after="80"/>
      </w:pPr>
      <w:r>
        <w:rPr>
          <w:b/>
          <w:i w:val="0"/>
          <w:color w:val="0070C0"/>
          <w:sz w:val="24"/>
        </w:rPr>
        <w:t>Hechos y Argumentos de la Empresa</w:t>
      </w:r>
    </w:p>
    <w:p>
      <w:pPr>
        <w:spacing w:before="40" w:after="40"/>
        <w:ind w:left="454"/>
      </w:pPr>
      <w:r>
        <w:rPr>
          <w:b w:val="0"/>
          <w:i w:val="0"/>
          <w:color w:val="000000"/>
          <w:sz w:val="21"/>
        </w:rPr>
        <w:t>• Se instalaron 5 terminales biométricos en distintas áreas de trabajo.</w:t>
      </w:r>
    </w:p>
    <w:p>
      <w:pPr>
        <w:spacing w:before="40" w:after="40"/>
        <w:ind w:left="454"/>
      </w:pPr>
      <w:r>
        <w:rPr>
          <w:b w:val="0"/>
          <w:i w:val="0"/>
          <w:color w:val="000000"/>
          <w:sz w:val="21"/>
        </w:rPr>
        <w:t>• La empresa argumentó que el sistema usaba 'minucias' (hash de huella), no la imagen real.</w:t>
      </w:r>
    </w:p>
    <w:p>
      <w:pPr>
        <w:spacing w:before="40" w:after="40"/>
        <w:ind w:left="454"/>
      </w:pPr>
      <w:r>
        <w:rPr>
          <w:b w:val="0"/>
          <w:i w:val="0"/>
          <w:color w:val="000000"/>
          <w:sz w:val="21"/>
        </w:rPr>
        <w:t>• Alegó consentimiento individual de los trabajadores como base legal.</w:t>
      </w:r>
    </w:p>
    <w:p>
      <w:pPr>
        <w:spacing w:before="40" w:after="40"/>
        <w:ind w:left="454"/>
      </w:pPr>
      <w:r>
        <w:rPr>
          <w:b w:val="0"/>
          <w:i w:val="0"/>
          <w:color w:val="000000"/>
          <w:sz w:val="21"/>
        </w:rPr>
        <w:t>• Contrató un proveedor certificado ISO 27001 e ISO 9001.</w:t>
      </w:r>
    </w:p>
    <w:p>
      <w:pPr>
        <w:spacing w:before="40" w:after="40"/>
        <w:ind w:left="454"/>
      </w:pPr>
      <w:r>
        <w:rPr>
          <w:b w:val="0"/>
          <w:i w:val="0"/>
          <w:color w:val="000000"/>
          <w:sz w:val="21"/>
        </w:rPr>
        <w:t>• El sistema solo estuvo operativo unos meses (interrumpido por COVID).</w:t>
      </w:r>
    </w:p>
    <w:p>
      <w:pPr>
        <w:spacing w:before="200" w:after="80"/>
      </w:pPr>
      <w:r>
        <w:rPr>
          <w:b/>
          <w:i w:val="0"/>
          <w:color w:val="0070C0"/>
          <w:sz w:val="24"/>
        </w:rPr>
        <w:t>Decisión de la AEPD</w:t>
      </w:r>
    </w:p>
    <w:p>
      <w:pPr>
        <w:spacing w:before="40" w:after="40"/>
        <w:ind w:left="454"/>
      </w:pPr>
      <w:r>
        <w:rPr>
          <w:b w:val="0"/>
          <w:i w:val="0"/>
          <w:color w:val="000000"/>
          <w:sz w:val="21"/>
        </w:rPr>
        <w:t>• Las plantillas de minucias son igualmente datos biométricos (Art. 9.1 GDPR).</w:t>
      </w:r>
    </w:p>
    <w:p>
      <w:pPr>
        <w:spacing w:before="40" w:after="40"/>
        <w:ind w:left="454"/>
      </w:pPr>
      <w:r>
        <w:rPr>
          <w:b w:val="0"/>
          <w:i w:val="0"/>
          <w:color w:val="000000"/>
          <w:sz w:val="21"/>
        </w:rPr>
        <w:t>• El consentimiento del empleado con su empleador no puede considerarse libre.</w:t>
      </w:r>
    </w:p>
    <w:p>
      <w:pPr>
        <w:spacing w:before="40" w:after="40"/>
        <w:ind w:left="454"/>
      </w:pPr>
      <w:r>
        <w:rPr>
          <w:b w:val="0"/>
          <w:i w:val="0"/>
          <w:color w:val="000000"/>
          <w:sz w:val="21"/>
        </w:rPr>
        <w:t>• No se realizó la EIPD obligatoria antes del tratamiento biométrico.</w:t>
      </w:r>
    </w:p>
    <w:p>
      <w:pPr>
        <w:spacing w:before="40" w:after="40"/>
        <w:ind w:left="454"/>
      </w:pPr>
      <w:r>
        <w:rPr>
          <w:b w:val="0"/>
          <w:i w:val="0"/>
          <w:color w:val="000000"/>
          <w:sz w:val="21"/>
        </w:rPr>
        <w:t>• El sistema no era proporcional: existían alternativas menos intrusivas.</w:t>
      </w:r>
    </w:p>
    <w:p>
      <w:pPr>
        <w:spacing w:before="40" w:after="40"/>
        <w:ind w:left="454"/>
      </w:pPr>
      <w:r>
        <w:rPr>
          <w:b w:val="0"/>
          <w:i w:val="0"/>
          <w:color w:val="000000"/>
          <w:sz w:val="21"/>
        </w:rPr>
        <w:t>• La certificación ISO del proveedor no exime al responsable de sus obligaciones.</w:t>
      </w:r>
    </w:p>
    <w:p>
      <w:pPr>
        <w:spacing w:before="60" w:after="100"/>
        <w:ind w:left="283"/>
      </w:pPr>
      <w:r>
        <w:rPr>
          <w:b w:val="0"/>
          <w:i/>
          <w:color w:val="8C0000"/>
          <w:sz w:val="20"/>
        </w:rPr>
        <w:t>⚠  El consentimiento es una base legal problemática en el contexto laboral, porque existe una relación de poder asimétrica entre empleador y empleado. La Ley 21.719 aplica el mismo razonamiento en Chile.</w:t>
      </w:r>
    </w:p>
    <w:p>
      <w:pPr>
        <w:spacing w:before="80" w:after="80"/>
        <w:pBdr>
          <w:bottom w:val="single" w:sz="6" w:space="1" w:color="BFBFBF"/>
        </w:pBdr>
      </w:pPr>
    </w:p>
    <w:p>
      <w:pPr>
        <w:spacing w:before="280" w:after="80"/>
      </w:pPr>
      <w:r>
        <w:rPr>
          <w:b/>
          <w:i w:val="0"/>
          <w:color w:val="00467F"/>
          <w:sz w:val="28"/>
        </w:rPr>
        <w:t>CASO 5 — SUBCONTRATACIÓN SIN CONTRATO FORMAL (INFORMÁTICA MÉDICA)</w:t>
      </w:r>
    </w:p>
    <w:p>
      <w:pPr>
        <w:spacing w:before="200" w:after="80"/>
      </w:pPr>
      <w:r>
        <w:rPr>
          <w:b/>
          <w:i w:val="0"/>
          <w:color w:val="0070C0"/>
          <w:sz w:val="24"/>
        </w:rPr>
        <w:t>Descripción del Caso</w:t>
      </w:r>
    </w:p>
    <w:p>
      <w:r>
        <w:rPr>
          <w:b w:val="0"/>
          <w:i w:val="0"/>
          <w:color w:val="000000"/>
          <w:sz w:val="21"/>
        </w:rPr>
        <w:t>Informática Médica (IM), empresa especializada en tratamiento de datos de salud para clínicas, subcontrató el almacenamiento de datos a OST NUVE (proveedor cloud) sin formalizar el contrato de encargo del tratamiento requerido por Art. 28 GDPR. Una brecha de seguridad en OST NUVE afectó a 136.000 personas.</w:t>
      </w:r>
    </w:p>
    <w:p>
      <w:pPr>
        <w:spacing w:before="200" w:after="80"/>
      </w:pPr>
      <w:r>
        <w:rPr>
          <w:b/>
          <w:i w:val="0"/>
          <w:color w:val="0070C0"/>
          <w:sz w:val="24"/>
        </w:rPr>
        <w:t>Estructura del Caso</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003F7F"/>
          </w:tcPr>
          <w:p>
            <w:r>
              <w:rPr>
                <w:b/>
                <w:i w:val="0"/>
                <w:color w:val="FFFFFF"/>
                <w:sz w:val="20"/>
              </w:rPr>
              <w:t>Actor</w:t>
            </w:r>
          </w:p>
        </w:tc>
        <w:tc>
          <w:tcPr>
            <w:tcW w:type="dxa" w:w="2835"/>
            <w:shd w:val="clear" w:color="auto" w:fill="003F7F"/>
          </w:tcPr>
          <w:p>
            <w:r>
              <w:rPr>
                <w:b/>
                <w:i w:val="0"/>
                <w:color w:val="FFFFFF"/>
                <w:sz w:val="20"/>
              </w:rPr>
              <w:t>Rol</w:t>
            </w:r>
          </w:p>
        </w:tc>
        <w:tc>
          <w:tcPr>
            <w:tcW w:type="dxa" w:w="4535"/>
            <w:shd w:val="clear" w:color="auto" w:fill="003F7F"/>
          </w:tcPr>
          <w:p>
            <w:r>
              <w:rPr>
                <w:b/>
                <w:i w:val="0"/>
                <w:color w:val="FFFFFF"/>
                <w:sz w:val="20"/>
              </w:rPr>
              <w:t>Datos Afectados</w:t>
            </w:r>
          </w:p>
        </w:tc>
      </w:tr>
      <w:tr>
        <w:tc>
          <w:tcPr>
            <w:tcW w:type="dxa" w:w="2268"/>
          </w:tcPr>
          <w:p>
            <w:r>
              <w:rPr>
                <w:b w:val="0"/>
                <w:i w:val="0"/>
                <w:color w:val="000000"/>
                <w:sz w:val="20"/>
              </w:rPr>
              <w:t>Informática Médica (IM)</w:t>
            </w:r>
          </w:p>
        </w:tc>
        <w:tc>
          <w:tcPr>
            <w:tcW w:type="dxa" w:w="2835"/>
          </w:tcPr>
          <w:p>
            <w:r>
              <w:rPr>
                <w:b w:val="0"/>
                <w:i w:val="0"/>
                <w:color w:val="000000"/>
                <w:sz w:val="20"/>
              </w:rPr>
              <w:t>Responsable del tratamiento</w:t>
            </w:r>
          </w:p>
        </w:tc>
        <w:tc>
          <w:tcPr>
            <w:tcW w:type="dxa" w:w="4535"/>
          </w:tcPr>
          <w:p>
            <w:r>
              <w:rPr>
                <w:b w:val="0"/>
                <w:i w:val="0"/>
                <w:color w:val="000000"/>
                <w:sz w:val="20"/>
              </w:rPr>
              <w:t>Contrató sin formalizar contrato</w:t>
            </w:r>
          </w:p>
        </w:tc>
      </w:tr>
      <w:tr>
        <w:tc>
          <w:tcPr>
            <w:tcW w:type="dxa" w:w="2268"/>
            <w:shd w:val="clear" w:color="auto" w:fill="EBF3FB"/>
          </w:tcPr>
          <w:p>
            <w:r>
              <w:rPr>
                <w:b w:val="0"/>
                <w:i w:val="0"/>
                <w:color w:val="000000"/>
                <w:sz w:val="20"/>
              </w:rPr>
              <w:t>OST NUVE</w:t>
            </w:r>
          </w:p>
        </w:tc>
        <w:tc>
          <w:tcPr>
            <w:tcW w:type="dxa" w:w="2835"/>
            <w:shd w:val="clear" w:color="auto" w:fill="EBF3FB"/>
          </w:tcPr>
          <w:p>
            <w:r>
              <w:rPr>
                <w:b w:val="0"/>
                <w:i w:val="0"/>
                <w:color w:val="000000"/>
                <w:sz w:val="20"/>
              </w:rPr>
              <w:t>Sub-encargado del tratamiento</w:t>
            </w:r>
          </w:p>
        </w:tc>
        <w:tc>
          <w:tcPr>
            <w:tcW w:type="dxa" w:w="4535"/>
            <w:shd w:val="clear" w:color="auto" w:fill="EBF3FB"/>
          </w:tcPr>
          <w:p>
            <w:r>
              <w:rPr>
                <w:b w:val="0"/>
                <w:i w:val="0"/>
                <w:color w:val="000000"/>
                <w:sz w:val="20"/>
              </w:rPr>
              <w:t>Sufrió brecha de seguridad</w:t>
            </w:r>
          </w:p>
        </w:tc>
      </w:tr>
      <w:tr>
        <w:tc>
          <w:tcPr>
            <w:tcW w:type="dxa" w:w="2268"/>
          </w:tcPr>
          <w:p>
            <w:r>
              <w:rPr>
                <w:b w:val="0"/>
                <w:i w:val="0"/>
                <w:color w:val="000000"/>
                <w:sz w:val="20"/>
              </w:rPr>
              <w:t>6 centros médicos</w:t>
            </w:r>
          </w:p>
        </w:tc>
        <w:tc>
          <w:tcPr>
            <w:tcW w:type="dxa" w:w="2835"/>
          </w:tcPr>
          <w:p>
            <w:r>
              <w:rPr>
                <w:b w:val="0"/>
                <w:i w:val="0"/>
                <w:color w:val="000000"/>
                <w:sz w:val="20"/>
              </w:rPr>
              <w:t>Clientes de IM</w:t>
            </w:r>
          </w:p>
        </w:tc>
        <w:tc>
          <w:tcPr>
            <w:tcW w:type="dxa" w:w="4535"/>
          </w:tcPr>
          <w:p>
            <w:r>
              <w:rPr>
                <w:b w:val="0"/>
                <w:i w:val="0"/>
                <w:color w:val="000000"/>
                <w:sz w:val="20"/>
              </w:rPr>
              <w:t>Historiales clínicos (datos sensibles)</w:t>
            </w:r>
          </w:p>
        </w:tc>
      </w:tr>
      <w:tr>
        <w:tc>
          <w:tcPr>
            <w:tcW w:type="dxa" w:w="2268"/>
            <w:shd w:val="clear" w:color="auto" w:fill="EBF3FB"/>
          </w:tcPr>
          <w:p>
            <w:r>
              <w:rPr>
                <w:b w:val="0"/>
                <w:i w:val="0"/>
                <w:color w:val="000000"/>
                <w:sz w:val="20"/>
              </w:rPr>
              <w:t>136.000 personas</w:t>
            </w:r>
          </w:p>
        </w:tc>
        <w:tc>
          <w:tcPr>
            <w:tcW w:type="dxa" w:w="2835"/>
            <w:shd w:val="clear" w:color="auto" w:fill="EBF3FB"/>
          </w:tcPr>
          <w:p>
            <w:r>
              <w:rPr>
                <w:b w:val="0"/>
                <w:i w:val="0"/>
                <w:color w:val="000000"/>
                <w:sz w:val="20"/>
              </w:rPr>
              <w:t>Titulares afectados</w:t>
            </w:r>
          </w:p>
        </w:tc>
        <w:tc>
          <w:tcPr>
            <w:tcW w:type="dxa" w:w="4535"/>
            <w:shd w:val="clear" w:color="auto" w:fill="EBF3FB"/>
          </w:tcPr>
          <w:p>
            <w:r>
              <w:rPr>
                <w:b w:val="0"/>
                <w:i w:val="0"/>
                <w:color w:val="000000"/>
                <w:sz w:val="20"/>
              </w:rPr>
              <w:t>Datos identificativos y de salud</w:t>
            </w:r>
          </w:p>
        </w:tc>
      </w:tr>
    </w:tbl>
    <w:p/>
    <w:p>
      <w:pPr>
        <w:spacing w:before="200" w:after="80"/>
      </w:pPr>
      <w:r>
        <w:rPr>
          <w:b/>
          <w:i w:val="0"/>
          <w:color w:val="0070C0"/>
          <w:sz w:val="24"/>
        </w:rPr>
        <w:t>Problemas Identificados</w:t>
      </w:r>
    </w:p>
    <w:p>
      <w:pPr>
        <w:spacing w:before="40" w:after="40"/>
        <w:ind w:left="454"/>
      </w:pPr>
      <w:r>
        <w:rPr>
          <w:b w:val="0"/>
          <w:i w:val="0"/>
          <w:color w:val="000000"/>
          <w:sz w:val="21"/>
        </w:rPr>
        <w:t>• IM operó sin contrato formal con OST NUVE durante aproximadamente un año.</w:t>
      </w:r>
    </w:p>
    <w:p>
      <w:pPr>
        <w:spacing w:before="40" w:after="40"/>
        <w:ind w:left="454"/>
      </w:pPr>
      <w:r>
        <w:rPr>
          <w:b w:val="0"/>
          <w:i w:val="0"/>
          <w:color w:val="000000"/>
          <w:sz w:val="21"/>
        </w:rPr>
        <w:t>• El contrato firmado el 30 de marzo de 2021 tenía efectos retroactivos al 1° de febrero de 2020.</w:t>
      </w:r>
    </w:p>
    <w:p>
      <w:pPr>
        <w:spacing w:before="40" w:after="40"/>
        <w:ind w:left="454"/>
      </w:pPr>
      <w:r>
        <w:rPr>
          <w:b w:val="0"/>
          <w:i w:val="0"/>
          <w:color w:val="000000"/>
          <w:sz w:val="21"/>
        </w:rPr>
        <w:t>• La AEPD determinó que el contrato retroactivo no subsana la infracción previa.</w:t>
      </w:r>
    </w:p>
    <w:p>
      <w:pPr>
        <w:spacing w:before="40" w:after="40"/>
        <w:ind w:left="454"/>
      </w:pPr>
      <w:r>
        <w:rPr>
          <w:b w:val="0"/>
          <w:i w:val="0"/>
          <w:color w:val="000000"/>
          <w:sz w:val="21"/>
        </w:rPr>
        <w:t>• El incidente ocurrió en febrero de 2021, antes de firmar el contrato.</w:t>
      </w:r>
    </w:p>
    <w:p>
      <w:pPr>
        <w:spacing w:before="200" w:after="80"/>
      </w:pPr>
      <w:r>
        <w:rPr>
          <w:b/>
          <w:i w:val="0"/>
          <w:color w:val="0070C0"/>
          <w:sz w:val="24"/>
        </w:rPr>
        <w:t>Principio Clave</w:t>
      </w:r>
    </w:p>
    <w:p>
      <w:pPr>
        <w:spacing w:before="40" w:after="40"/>
        <w:ind w:left="454"/>
      </w:pPr>
      <w:r>
        <w:rPr>
          <w:b w:val="0"/>
          <w:i w:val="0"/>
          <w:color w:val="000000"/>
          <w:sz w:val="21"/>
        </w:rPr>
        <w:t>• La responsabilidad del tratamiento no se transfiere al sub-encargado.</w:t>
      </w:r>
    </w:p>
    <w:p>
      <w:pPr>
        <w:spacing w:before="40" w:after="40"/>
        <w:ind w:left="454"/>
      </w:pPr>
      <w:r>
        <w:rPr>
          <w:b w:val="0"/>
          <w:i w:val="0"/>
          <w:color w:val="000000"/>
          <w:sz w:val="21"/>
        </w:rPr>
        <w:t>• El responsable debe supervisar activamente a sus encargados.</w:t>
      </w:r>
    </w:p>
    <w:p>
      <w:pPr>
        <w:spacing w:before="40" w:after="40"/>
        <w:ind w:left="454"/>
      </w:pPr>
      <w:r>
        <w:rPr>
          <w:b w:val="0"/>
          <w:i w:val="0"/>
          <w:color w:val="000000"/>
          <w:sz w:val="21"/>
        </w:rPr>
        <w:t>• Un contrato firmado después de una brecha no subsana la infracción.</w:t>
      </w:r>
    </w:p>
    <w:p>
      <w:pPr>
        <w:spacing w:before="60" w:after="100"/>
        <w:ind w:left="283"/>
      </w:pPr>
      <w:r>
        <w:rPr>
          <w:b w:val="0"/>
          <w:i/>
          <w:color w:val="8C0000"/>
          <w:sz w:val="20"/>
        </w:rPr>
        <w:t>⚠  En Chile, la Ley 21.719 exige un contrato escrito entre responsable y encargado del tratamiento. Si el encargado sub-contrata, el responsable original sigue siendo el obligado principal ante la APDC y los titulares.</w:t>
      </w:r>
    </w:p>
    <w:p>
      <w:pPr>
        <w:spacing w:before="80" w:after="80"/>
        <w:pBdr>
          <w:bottom w:val="single" w:sz="6" w:space="1" w:color="BFBFBF"/>
        </w:pBdr>
      </w:pPr>
    </w:p>
    <w:p>
      <w:pPr>
        <w:spacing w:before="280" w:after="80"/>
      </w:pPr>
      <w:r>
        <w:rPr>
          <w:b/>
          <w:i w:val="0"/>
          <w:color w:val="00467F"/>
          <w:sz w:val="28"/>
        </w:rPr>
        <w:t>CASO 6 — DERECHO AL OLVIDO: IMÁGENES DE EX-PROFESORA (EDUCANDO JUNTOS SL)</w:t>
      </w:r>
    </w:p>
    <w:p>
      <w:pPr>
        <w:spacing w:before="200" w:after="80"/>
      </w:pPr>
      <w:r>
        <w:rPr>
          <w:b/>
          <w:i w:val="0"/>
          <w:color w:val="0070C0"/>
          <w:sz w:val="24"/>
        </w:rPr>
        <w:t>Descripción del Caso</w:t>
      </w:r>
    </w:p>
    <w:p>
      <w:r>
        <w:rPr>
          <w:b w:val="0"/>
          <w:i w:val="0"/>
          <w:color w:val="000000"/>
          <w:sz w:val="21"/>
        </w:rPr>
        <w:t>Una ex-profesora de una escuela infantil española (Educando Juntos SL) solicitó, tras terminar su relación laboral, la eliminación de todas sus fotografías y videos de la web y redes sociales del centro. El centro ignoró sus solicitudes reiteradas.</w:t>
      </w:r>
    </w:p>
    <w:p>
      <w:pPr>
        <w:spacing w:before="200" w:after="80"/>
      </w:pPr>
      <w:r>
        <w:rPr>
          <w:b/>
          <w:i w:val="0"/>
          <w:color w:val="0070C0"/>
          <w:sz w:val="24"/>
        </w:rPr>
        <w:t>Hechos Probados</w:t>
      </w:r>
    </w:p>
    <w:p>
      <w:pPr>
        <w:spacing w:before="40" w:after="40"/>
        <w:ind w:left="454"/>
      </w:pPr>
      <w:r>
        <w:rPr>
          <w:b w:val="0"/>
          <w:i w:val="0"/>
          <w:color w:val="000000"/>
          <w:sz w:val="21"/>
        </w:rPr>
        <w:t>• La ex-profesora envió correos en octubre y noviembre de 2020 solicitando la eliminación.</w:t>
      </w:r>
    </w:p>
    <w:p>
      <w:pPr>
        <w:spacing w:before="40" w:after="40"/>
        <w:ind w:left="454"/>
      </w:pPr>
      <w:r>
        <w:rPr>
          <w:b w:val="0"/>
          <w:i w:val="0"/>
          <w:color w:val="000000"/>
          <w:sz w:val="21"/>
        </w:rPr>
        <w:t>• El centro no respondió a las solicitudes ni retiró las imágenes.</w:t>
      </w:r>
    </w:p>
    <w:p>
      <w:pPr>
        <w:spacing w:before="40" w:after="40"/>
        <w:ind w:left="454"/>
      </w:pPr>
      <w:r>
        <w:rPr>
          <w:b w:val="0"/>
          <w:i w:val="0"/>
          <w:color w:val="000000"/>
          <w:sz w:val="21"/>
        </w:rPr>
        <w:t>• Las imágenes aparecían en la web del centro y en publicaciones de Instagram.</w:t>
      </w:r>
    </w:p>
    <w:p>
      <w:pPr>
        <w:spacing w:before="40" w:after="40"/>
        <w:ind w:left="454"/>
      </w:pPr>
      <w:r>
        <w:rPr>
          <w:b w:val="0"/>
          <w:i w:val="0"/>
          <w:color w:val="000000"/>
          <w:sz w:val="21"/>
        </w:rPr>
        <w:t>• El centro no acreditó el consentimiento explícito de la ex-profesora.</w:t>
      </w:r>
    </w:p>
    <w:p>
      <w:pPr>
        <w:spacing w:before="40" w:after="40"/>
        <w:ind w:left="454"/>
      </w:pPr>
      <w:r>
        <w:rPr>
          <w:b w:val="0"/>
          <w:i w:val="0"/>
          <w:color w:val="000000"/>
          <w:sz w:val="21"/>
        </w:rPr>
        <w:t>• Alegó consentimiento tácito porque la propia profesora había publicado imágenes antes.</w:t>
      </w:r>
    </w:p>
    <w:p>
      <w:pPr>
        <w:spacing w:before="200" w:after="80"/>
      </w:pPr>
      <w:r>
        <w:rPr>
          <w:b/>
          <w:i w:val="0"/>
          <w:color w:val="0070C0"/>
          <w:sz w:val="24"/>
        </w:rPr>
        <w:t>Infracciones Identificadas</w:t>
      </w:r>
    </w:p>
    <w:p>
      <w:pPr>
        <w:spacing w:before="40" w:after="40"/>
        <w:ind w:left="454"/>
      </w:pPr>
      <w:r>
        <w:rPr>
          <w:b w:val="0"/>
          <w:i w:val="0"/>
          <w:color w:val="000000"/>
          <w:sz w:val="21"/>
        </w:rPr>
        <w:t>• Art. 6.1 GDPR: falta de base legal para mantener las imágenes tras la solicitud de supresión.</w:t>
      </w:r>
    </w:p>
    <w:p>
      <w:pPr>
        <w:spacing w:before="40" w:after="40"/>
        <w:ind w:left="454"/>
      </w:pPr>
      <w:r>
        <w:rPr>
          <w:b w:val="0"/>
          <w:i w:val="0"/>
          <w:color w:val="000000"/>
          <w:sz w:val="21"/>
        </w:rPr>
        <w:t>• Art. 17 GDPR: vulneración del derecho de supresión ('derecho al olvido').</w:t>
      </w:r>
    </w:p>
    <w:p>
      <w:pPr>
        <w:spacing w:before="40" w:after="40"/>
        <w:ind w:left="454"/>
      </w:pPr>
      <w:r>
        <w:rPr>
          <w:b w:val="0"/>
          <w:i w:val="0"/>
          <w:color w:val="000000"/>
          <w:sz w:val="21"/>
        </w:rPr>
        <w:t>• Ignorar solicitudes reiteradas de ejercicio de derechos constituye infracción autónoma.</w:t>
      </w:r>
    </w:p>
    <w:p>
      <w:pPr>
        <w:spacing w:before="200" w:after="80"/>
      </w:pPr>
      <w:r>
        <w:rPr>
          <w:b/>
          <w:i w:val="0"/>
          <w:color w:val="0070C0"/>
          <w:sz w:val="24"/>
        </w:rPr>
        <w:t>Equivalente en Ley 21.719</w:t>
      </w:r>
    </w:p>
    <w:p>
      <w:pPr>
        <w:spacing w:before="40" w:after="40"/>
        <w:ind w:left="454"/>
      </w:pPr>
      <w:r>
        <w:rPr>
          <w:b w:val="0"/>
          <w:i w:val="0"/>
          <w:color w:val="000000"/>
          <w:sz w:val="21"/>
        </w:rPr>
        <w:t>• Art. 15 Ley 21.719: derecho de supresión o cancelación de datos.</w:t>
      </w:r>
    </w:p>
    <w:p>
      <w:pPr>
        <w:spacing w:before="40" w:after="40"/>
        <w:ind w:left="454"/>
      </w:pPr>
      <w:r>
        <w:rPr>
          <w:b w:val="0"/>
          <w:i w:val="0"/>
          <w:color w:val="000000"/>
          <w:sz w:val="21"/>
        </w:rPr>
        <w:t>• Plazo para responder: establecido en la ley; el silencio equivale a denegación tácita.</w:t>
      </w:r>
    </w:p>
    <w:p>
      <w:pPr>
        <w:spacing w:before="40" w:after="40"/>
        <w:ind w:left="454"/>
      </w:pPr>
      <w:r>
        <w:rPr>
          <w:b w:val="0"/>
          <w:i w:val="0"/>
          <w:color w:val="000000"/>
          <w:sz w:val="21"/>
        </w:rPr>
        <w:t>• El responsable debe acreditar la base legal del tratamiento, no el titular.</w:t>
      </w:r>
    </w:p>
    <w:p>
      <w:pPr>
        <w:spacing w:before="60" w:after="100"/>
        <w:ind w:left="283"/>
      </w:pPr>
      <w:r>
        <w:rPr>
          <w:b w:val="0"/>
          <w:i/>
          <w:color w:val="8C0000"/>
          <w:sz w:val="20"/>
        </w:rPr>
        <w:t>⚠  El consentimiento tácito o implícito no es válido para mantener el tratamiento si el titular lo ha revocado expresamente. Además, una imagen de una persona es dato personal protegido por la ley, independientemente de su uso aparentemente inocuo.</w:t>
      </w:r>
    </w:p>
    <w:p>
      <w:pPr>
        <w:spacing w:before="80" w:after="80"/>
        <w:pBdr>
          <w:bottom w:val="single" w:sz="6" w:space="1" w:color="BFBFBF"/>
        </w:pBdr>
      </w:pPr>
    </w:p>
    <w:p>
      <w:pPr>
        <w:spacing w:before="280" w:after="80"/>
      </w:pPr>
      <w:r>
        <w:rPr>
          <w:b/>
          <w:i w:val="0"/>
          <w:color w:val="00467F"/>
          <w:sz w:val="28"/>
        </w:rPr>
        <w:t>LECCIONES APRENDIDAS: RESUMEN DE LOS 6 CASOS</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003F7F"/>
          </w:tcPr>
          <w:p>
            <w:r>
              <w:rPr>
                <w:b/>
                <w:i w:val="0"/>
                <w:color w:val="FFFFFF"/>
                <w:sz w:val="20"/>
              </w:rPr>
              <w:t>Lección</w:t>
            </w:r>
          </w:p>
        </w:tc>
        <w:tc>
          <w:tcPr>
            <w:tcW w:type="dxa" w:w="1984"/>
            <w:shd w:val="clear" w:color="auto" w:fill="003F7F"/>
          </w:tcPr>
          <w:p>
            <w:r>
              <w:rPr>
                <w:b/>
                <w:i w:val="0"/>
                <w:color w:val="FFFFFF"/>
                <w:sz w:val="20"/>
              </w:rPr>
              <w:t>Casos Relacionados</w:t>
            </w:r>
          </w:p>
        </w:tc>
        <w:tc>
          <w:tcPr>
            <w:tcW w:type="dxa" w:w="4535"/>
            <w:shd w:val="clear" w:color="auto" w:fill="003F7F"/>
          </w:tcPr>
          <w:p>
            <w:r>
              <w:rPr>
                <w:b/>
                <w:i w:val="0"/>
                <w:color w:val="FFFFFF"/>
                <w:sz w:val="20"/>
              </w:rPr>
              <w:t>Implicancia en Chile</w:t>
            </w:r>
          </w:p>
        </w:tc>
      </w:tr>
      <w:tr>
        <w:tc>
          <w:tcPr>
            <w:tcW w:type="dxa" w:w="3118"/>
          </w:tcPr>
          <w:p>
            <w:r>
              <w:rPr>
                <w:b w:val="0"/>
                <w:i w:val="0"/>
                <w:color w:val="000000"/>
                <w:sz w:val="20"/>
              </w:rPr>
              <w:t>Consentimiento informado y específico para cada finalidad</w:t>
            </w:r>
          </w:p>
        </w:tc>
        <w:tc>
          <w:tcPr>
            <w:tcW w:type="dxa" w:w="1984"/>
          </w:tcPr>
          <w:p>
            <w:r>
              <w:rPr>
                <w:b w:val="0"/>
                <w:i w:val="0"/>
                <w:color w:val="000000"/>
                <w:sz w:val="20"/>
              </w:rPr>
              <w:t>Caso 1, 4</w:t>
            </w:r>
          </w:p>
        </w:tc>
        <w:tc>
          <w:tcPr>
            <w:tcW w:type="dxa" w:w="4535"/>
          </w:tcPr>
          <w:p>
            <w:r>
              <w:rPr>
                <w:b w:val="0"/>
                <w:i w:val="0"/>
                <w:color w:val="000000"/>
                <w:sz w:val="20"/>
              </w:rPr>
              <w:t>Art. 14 Ley 21.719: consentimiento específico y revocable</w:t>
            </w:r>
          </w:p>
        </w:tc>
      </w:tr>
      <w:tr>
        <w:tc>
          <w:tcPr>
            <w:tcW w:type="dxa" w:w="3118"/>
            <w:shd w:val="clear" w:color="auto" w:fill="EBF3FB"/>
          </w:tcPr>
          <w:p>
            <w:r>
              <w:rPr>
                <w:b w:val="0"/>
                <w:i w:val="0"/>
                <w:color w:val="000000"/>
                <w:sz w:val="20"/>
              </w:rPr>
              <w:t>EIPD/DPIA obligatoria para datos sensibles y alto riesgo</w:t>
            </w:r>
          </w:p>
        </w:tc>
        <w:tc>
          <w:tcPr>
            <w:tcW w:type="dxa" w:w="1984"/>
            <w:shd w:val="clear" w:color="auto" w:fill="EBF3FB"/>
          </w:tcPr>
          <w:p>
            <w:r>
              <w:rPr>
                <w:b w:val="0"/>
                <w:i w:val="0"/>
                <w:color w:val="000000"/>
                <w:sz w:val="20"/>
              </w:rPr>
              <w:t>Caso 2, 4</w:t>
            </w:r>
          </w:p>
        </w:tc>
        <w:tc>
          <w:tcPr>
            <w:tcW w:type="dxa" w:w="4535"/>
            <w:shd w:val="clear" w:color="auto" w:fill="EBF3FB"/>
          </w:tcPr>
          <w:p>
            <w:r>
              <w:rPr>
                <w:b w:val="0"/>
                <w:i w:val="0"/>
                <w:color w:val="000000"/>
                <w:sz w:val="20"/>
              </w:rPr>
              <w:t>Art. 15 bis Ley 21.719: EIPD previa al tratamiento</w:t>
            </w:r>
          </w:p>
        </w:tc>
      </w:tr>
      <w:tr>
        <w:tc>
          <w:tcPr>
            <w:tcW w:type="dxa" w:w="3118"/>
          </w:tcPr>
          <w:p>
            <w:r>
              <w:rPr>
                <w:b w:val="0"/>
                <w:i w:val="0"/>
                <w:color w:val="000000"/>
                <w:sz w:val="20"/>
              </w:rPr>
              <w:t>Responsabilidad proactiva: demostrar el cumplimiento</w:t>
            </w:r>
          </w:p>
        </w:tc>
        <w:tc>
          <w:tcPr>
            <w:tcW w:type="dxa" w:w="1984"/>
          </w:tcPr>
          <w:p>
            <w:r>
              <w:rPr>
                <w:b w:val="0"/>
                <w:i w:val="0"/>
                <w:color w:val="000000"/>
                <w:sz w:val="20"/>
              </w:rPr>
              <w:t>Todos</w:t>
            </w:r>
          </w:p>
        </w:tc>
        <w:tc>
          <w:tcPr>
            <w:tcW w:type="dxa" w:w="4535"/>
          </w:tcPr>
          <w:p>
            <w:r>
              <w:rPr>
                <w:b w:val="0"/>
                <w:i w:val="0"/>
                <w:color w:val="000000"/>
                <w:sz w:val="20"/>
              </w:rPr>
              <w:t>Principio de accountability del Art. 3 Ley 21.719</w:t>
            </w:r>
          </w:p>
        </w:tc>
      </w:tr>
      <w:tr>
        <w:tc>
          <w:tcPr>
            <w:tcW w:type="dxa" w:w="3118"/>
            <w:shd w:val="clear" w:color="auto" w:fill="EBF3FB"/>
          </w:tcPr>
          <w:p>
            <w:r>
              <w:rPr>
                <w:b w:val="0"/>
                <w:i w:val="0"/>
                <w:color w:val="000000"/>
                <w:sz w:val="20"/>
              </w:rPr>
              <w:t>Medidas de seguridad técnicas y organizativas</w:t>
            </w:r>
          </w:p>
        </w:tc>
        <w:tc>
          <w:tcPr>
            <w:tcW w:type="dxa" w:w="1984"/>
            <w:shd w:val="clear" w:color="auto" w:fill="EBF3FB"/>
          </w:tcPr>
          <w:p>
            <w:r>
              <w:rPr>
                <w:b w:val="0"/>
                <w:i w:val="0"/>
                <w:color w:val="000000"/>
                <w:sz w:val="20"/>
              </w:rPr>
              <w:t>Caso 3, 5</w:t>
            </w:r>
          </w:p>
        </w:tc>
        <w:tc>
          <w:tcPr>
            <w:tcW w:type="dxa" w:w="4535"/>
            <w:shd w:val="clear" w:color="auto" w:fill="EBF3FB"/>
          </w:tcPr>
          <w:p>
            <w:r>
              <w:rPr>
                <w:b w:val="0"/>
                <w:i w:val="0"/>
                <w:color w:val="000000"/>
                <w:sz w:val="20"/>
              </w:rPr>
              <w:t>Obligación de seguridad proporcional al riesgo</w:t>
            </w:r>
          </w:p>
        </w:tc>
      </w:tr>
      <w:tr>
        <w:tc>
          <w:tcPr>
            <w:tcW w:type="dxa" w:w="3118"/>
          </w:tcPr>
          <w:p>
            <w:r>
              <w:rPr>
                <w:b w:val="0"/>
                <w:i w:val="0"/>
                <w:color w:val="000000"/>
                <w:sz w:val="20"/>
              </w:rPr>
              <w:t>Contratos formales con encargados del tratamiento</w:t>
            </w:r>
          </w:p>
        </w:tc>
        <w:tc>
          <w:tcPr>
            <w:tcW w:type="dxa" w:w="1984"/>
          </w:tcPr>
          <w:p>
            <w:r>
              <w:rPr>
                <w:b w:val="0"/>
                <w:i w:val="0"/>
                <w:color w:val="000000"/>
                <w:sz w:val="20"/>
              </w:rPr>
              <w:t>Caso 5</w:t>
            </w:r>
          </w:p>
        </w:tc>
        <w:tc>
          <w:tcPr>
            <w:tcW w:type="dxa" w:w="4535"/>
          </w:tcPr>
          <w:p>
            <w:r>
              <w:rPr>
                <w:b w:val="0"/>
                <w:i w:val="0"/>
                <w:color w:val="000000"/>
                <w:sz w:val="20"/>
              </w:rPr>
              <w:t>Contrato escrito obligatorio con encargados</w:t>
            </w:r>
          </w:p>
        </w:tc>
      </w:tr>
      <w:tr>
        <w:tc>
          <w:tcPr>
            <w:tcW w:type="dxa" w:w="3118"/>
            <w:shd w:val="clear" w:color="auto" w:fill="EBF3FB"/>
          </w:tcPr>
          <w:p>
            <w:r>
              <w:rPr>
                <w:b w:val="0"/>
                <w:i w:val="0"/>
                <w:color w:val="000000"/>
                <w:sz w:val="20"/>
              </w:rPr>
              <w:t>Responder a ejercicios de derechos sin dilación</w:t>
            </w:r>
          </w:p>
        </w:tc>
        <w:tc>
          <w:tcPr>
            <w:tcW w:type="dxa" w:w="1984"/>
            <w:shd w:val="clear" w:color="auto" w:fill="EBF3FB"/>
          </w:tcPr>
          <w:p>
            <w:r>
              <w:rPr>
                <w:b w:val="0"/>
                <w:i w:val="0"/>
                <w:color w:val="000000"/>
                <w:sz w:val="20"/>
              </w:rPr>
              <w:t>Caso 6</w:t>
            </w:r>
          </w:p>
        </w:tc>
        <w:tc>
          <w:tcPr>
            <w:tcW w:type="dxa" w:w="4535"/>
            <w:shd w:val="clear" w:color="auto" w:fill="EBF3FB"/>
          </w:tcPr>
          <w:p>
            <w:r>
              <w:rPr>
                <w:b w:val="0"/>
                <w:i w:val="0"/>
                <w:color w:val="000000"/>
                <w:sz w:val="20"/>
              </w:rPr>
              <w:t>Derechos ARCO+ con plazos legales en Ley 21.719</w:t>
            </w:r>
          </w:p>
        </w:tc>
      </w:tr>
      <w:tr>
        <w:tc>
          <w:tcPr>
            <w:tcW w:type="dxa" w:w="3118"/>
          </w:tcPr>
          <w:p>
            <w:r>
              <w:rPr>
                <w:b w:val="0"/>
                <w:i w:val="0"/>
                <w:color w:val="000000"/>
                <w:sz w:val="20"/>
              </w:rPr>
              <w:t>La responsabilidad no se delega a terceros ni proveedores</w:t>
            </w:r>
          </w:p>
        </w:tc>
        <w:tc>
          <w:tcPr>
            <w:tcW w:type="dxa" w:w="1984"/>
          </w:tcPr>
          <w:p>
            <w:r>
              <w:rPr>
                <w:b w:val="0"/>
                <w:i w:val="0"/>
                <w:color w:val="000000"/>
                <w:sz w:val="20"/>
              </w:rPr>
              <w:t>Caso 2, 5</w:t>
            </w:r>
          </w:p>
        </w:tc>
        <w:tc>
          <w:tcPr>
            <w:tcW w:type="dxa" w:w="4535"/>
          </w:tcPr>
          <w:p>
            <w:r>
              <w:rPr>
                <w:b w:val="0"/>
                <w:i w:val="0"/>
                <w:color w:val="000000"/>
                <w:sz w:val="20"/>
              </w:rPr>
              <w:t>El responsable responde ante la APDC siempre</w:t>
            </w:r>
          </w:p>
        </w:tc>
      </w:tr>
    </w:tbl>
    <w:p/>
    <w:p>
      <w:pPr>
        <w:spacing w:before="280" w:after="80"/>
      </w:pPr>
      <w:r>
        <w:rPr>
          <w:b/>
          <w:i w:val="0"/>
          <w:color w:val="00467F"/>
          <w:sz w:val="28"/>
        </w:rPr>
        <w:t>REFLEXIÓN FINAL DEL MÓDULO 6</w:t>
      </w:r>
    </w:p>
    <w:p>
      <w:pPr>
        <w:spacing w:before="200" w:after="80"/>
      </w:pPr>
      <w:r>
        <w:rPr>
          <w:b/>
          <w:i w:val="0"/>
          <w:color w:val="0070C0"/>
          <w:sz w:val="24"/>
        </w:rPr>
        <w:t>Confianza Digital como Fundamento</w:t>
      </w:r>
    </w:p>
    <w:p>
      <w:r>
        <w:rPr>
          <w:b w:val="0"/>
          <w:i w:val="0"/>
          <w:color w:val="000000"/>
          <w:sz w:val="21"/>
        </w:rPr>
        <w:t>La protección de datos personales es un pilar fundamental de la confianza digital. En un mundo cada vez más digitalizado, la relación entre organizaciones y personas depende de que los datos se traten con integridad, transparencia y seguridad.</w:t>
      </w:r>
    </w:p>
    <w:p>
      <w:pPr>
        <w:spacing w:before="200" w:after="80"/>
      </w:pPr>
      <w:r>
        <w:rPr>
          <w:b/>
          <w:i w:val="0"/>
          <w:color w:val="0070C0"/>
          <w:sz w:val="24"/>
        </w:rPr>
        <w:t>Responsabilidad Ineludible</w:t>
      </w:r>
    </w:p>
    <w:p>
      <w:r>
        <w:rPr>
          <w:b w:val="0"/>
          <w:i w:val="0"/>
          <w:color w:val="000000"/>
          <w:sz w:val="21"/>
        </w:rPr>
        <w:t>El cumplimiento de la Ley 21.719 no es solo una obligación legal: es un compromiso ético con la privacidad y dignidad de las personas, y un factor crítico para la reputación y sostenibilidad empresarial.</w:t>
      </w:r>
    </w:p>
    <w:p>
      <w:pPr>
        <w:spacing w:before="200" w:after="80"/>
      </w:pPr>
      <w:r>
        <w:rPr>
          <w:b/>
          <w:i w:val="0"/>
          <w:color w:val="0070C0"/>
          <w:sz w:val="24"/>
        </w:rPr>
        <w:t>Enfoque Multifacético</w:t>
      </w:r>
    </w:p>
    <w:p>
      <w:pPr>
        <w:spacing w:before="40" w:after="40"/>
        <w:ind w:left="454"/>
      </w:pPr>
      <w:r>
        <w:rPr>
          <w:b w:val="0"/>
          <w:i w:val="0"/>
          <w:color w:val="000000"/>
          <w:sz w:val="21"/>
        </w:rPr>
        <w:t>• Medidas técnicas: cifrado, control de accesos, configuraciones de seguridad.</w:t>
      </w:r>
    </w:p>
    <w:p>
      <w:pPr>
        <w:spacing w:before="40" w:after="40"/>
        <w:ind w:left="454"/>
      </w:pPr>
      <w:r>
        <w:rPr>
          <w:b w:val="0"/>
          <w:i w:val="0"/>
          <w:color w:val="000000"/>
          <w:sz w:val="21"/>
        </w:rPr>
        <w:t>• Medidas organizativas: políticas, procedimientos, capacitación del personal.</w:t>
      </w:r>
    </w:p>
    <w:p>
      <w:pPr>
        <w:spacing w:before="40" w:after="40"/>
        <w:ind w:left="454"/>
      </w:pPr>
      <w:r>
        <w:rPr>
          <w:b w:val="0"/>
          <w:i w:val="0"/>
          <w:color w:val="000000"/>
          <w:sz w:val="21"/>
        </w:rPr>
        <w:t>• Medidas documentales: RAT, EIPD, contratos con encargados, registros de ejercicio de derechos.</w:t>
      </w:r>
    </w:p>
    <w:p>
      <w:pPr>
        <w:spacing w:before="200" w:after="80"/>
      </w:pPr>
      <w:r>
        <w:rPr>
          <w:b/>
          <w:i w:val="0"/>
          <w:color w:val="0070C0"/>
          <w:sz w:val="24"/>
        </w:rPr>
        <w:t>Las Tres Acciones Prioritarias para Cualquier Organización</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val="clear" w:color="auto" w:fill="003F7F"/>
          </w:tcPr>
          <w:p>
            <w:r>
              <w:rPr>
                <w:b/>
                <w:i w:val="0"/>
                <w:color w:val="FFFFFF"/>
                <w:sz w:val="20"/>
              </w:rPr>
              <w:t>Prioridad</w:t>
            </w:r>
          </w:p>
        </w:tc>
        <w:tc>
          <w:tcPr>
            <w:tcW w:type="dxa" w:w="5386"/>
            <w:shd w:val="clear" w:color="auto" w:fill="003F7F"/>
          </w:tcPr>
          <w:p>
            <w:r>
              <w:rPr>
                <w:b/>
                <w:i w:val="0"/>
                <w:color w:val="FFFFFF"/>
                <w:sz w:val="20"/>
              </w:rPr>
              <w:t>Acción</w:t>
            </w:r>
          </w:p>
        </w:tc>
        <w:tc>
          <w:tcPr>
            <w:tcW w:type="dxa" w:w="2835"/>
            <w:shd w:val="clear" w:color="auto" w:fill="003F7F"/>
          </w:tcPr>
          <w:p>
            <w:r>
              <w:rPr>
                <w:b/>
                <w:i w:val="0"/>
                <w:color w:val="FFFFFF"/>
                <w:sz w:val="20"/>
              </w:rPr>
              <w:t>Objetivo</w:t>
            </w:r>
          </w:p>
        </w:tc>
      </w:tr>
      <w:tr>
        <w:tc>
          <w:tcPr>
            <w:tcW w:type="dxa" w:w="1417"/>
          </w:tcPr>
          <w:p>
            <w:r>
              <w:rPr>
                <w:b w:val="0"/>
                <w:i w:val="0"/>
                <w:color w:val="000000"/>
                <w:sz w:val="20"/>
              </w:rPr>
              <w:t>1</w:t>
            </w:r>
          </w:p>
        </w:tc>
        <w:tc>
          <w:tcPr>
            <w:tcW w:type="dxa" w:w="5386"/>
          </w:tcPr>
          <w:p>
            <w:r>
              <w:rPr>
                <w:b w:val="0"/>
                <w:i w:val="0"/>
                <w:color w:val="000000"/>
                <w:sz w:val="20"/>
              </w:rPr>
              <w:t>Revisar y documentar bases jurídicas de todos los tratamientos</w:t>
            </w:r>
          </w:p>
        </w:tc>
        <w:tc>
          <w:tcPr>
            <w:tcW w:type="dxa" w:w="2835"/>
          </w:tcPr>
          <w:p>
            <w:r>
              <w:rPr>
                <w:b w:val="0"/>
                <w:i w:val="0"/>
                <w:color w:val="000000"/>
                <w:sz w:val="20"/>
              </w:rPr>
              <w:t>Evitar la principal causa de multas en Europa</w:t>
            </w:r>
          </w:p>
        </w:tc>
      </w:tr>
      <w:tr>
        <w:tc>
          <w:tcPr>
            <w:tcW w:type="dxa" w:w="1417"/>
            <w:shd w:val="clear" w:color="auto" w:fill="EBF3FB"/>
          </w:tcPr>
          <w:p>
            <w:r>
              <w:rPr>
                <w:b w:val="0"/>
                <w:i w:val="0"/>
                <w:color w:val="000000"/>
                <w:sz w:val="20"/>
              </w:rPr>
              <w:t>2</w:t>
            </w:r>
          </w:p>
        </w:tc>
        <w:tc>
          <w:tcPr>
            <w:tcW w:type="dxa" w:w="5386"/>
            <w:shd w:val="clear" w:color="auto" w:fill="EBF3FB"/>
          </w:tcPr>
          <w:p>
            <w:r>
              <w:rPr>
                <w:b w:val="0"/>
                <w:i w:val="0"/>
                <w:color w:val="000000"/>
                <w:sz w:val="20"/>
              </w:rPr>
              <w:t>Implementar EIPD para tratamientos de alto riesgo y datos sensibles</w:t>
            </w:r>
          </w:p>
        </w:tc>
        <w:tc>
          <w:tcPr>
            <w:tcW w:type="dxa" w:w="2835"/>
            <w:shd w:val="clear" w:color="auto" w:fill="EBF3FB"/>
          </w:tcPr>
          <w:p>
            <w:r>
              <w:rPr>
                <w:b w:val="0"/>
                <w:i w:val="0"/>
                <w:color w:val="000000"/>
                <w:sz w:val="20"/>
              </w:rPr>
              <w:t>Cumplir obligación legal y demostrar accountability</w:t>
            </w:r>
          </w:p>
        </w:tc>
      </w:tr>
      <w:tr>
        <w:tc>
          <w:tcPr>
            <w:tcW w:type="dxa" w:w="1417"/>
          </w:tcPr>
          <w:p>
            <w:r>
              <w:rPr>
                <w:b w:val="0"/>
                <w:i w:val="0"/>
                <w:color w:val="000000"/>
                <w:sz w:val="20"/>
              </w:rPr>
              <w:t>3</w:t>
            </w:r>
          </w:p>
        </w:tc>
        <w:tc>
          <w:tcPr>
            <w:tcW w:type="dxa" w:w="5386"/>
          </w:tcPr>
          <w:p>
            <w:r>
              <w:rPr>
                <w:b w:val="0"/>
                <w:i w:val="0"/>
                <w:color w:val="000000"/>
                <w:sz w:val="20"/>
              </w:rPr>
              <w:t>Formalizar contratos con encargados y responder derechos a tiempo</w:t>
            </w:r>
          </w:p>
        </w:tc>
        <w:tc>
          <w:tcPr>
            <w:tcW w:type="dxa" w:w="2835"/>
          </w:tcPr>
          <w:p>
            <w:r>
              <w:rPr>
                <w:b w:val="0"/>
                <w:i w:val="0"/>
                <w:color w:val="000000"/>
                <w:sz w:val="20"/>
              </w:rPr>
              <w:t>Cubrir las otras dos causas principales de infracciones</w:t>
            </w:r>
          </w:p>
        </w:tc>
      </w:tr>
    </w:tbl>
    <w:p/>
    <w:p>
      <w:pPr>
        <w:spacing w:before="60" w:after="100"/>
        <w:ind w:left="283"/>
      </w:pPr>
      <w:r>
        <w:rPr>
          <w:b w:val="0"/>
          <w:i/>
          <w:color w:val="8C0000"/>
          <w:sz w:val="20"/>
        </w:rPr>
        <w:t>⚠  La Ley 21.719 entra en vigencia el 1° de diciembre de 2026. El tiempo para prepararse es ahora. Las organizaciones que adopten una cultura de protección de datos proactiva estarán mejor posicionadas para cumplir y para generar confianza en sus usuarios.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