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CUST-DOC-02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LEVANTAMIENTO DE REQUISITOS</w:t>
      </w:r>
    </w:p>
    <w:p>
      <w:pPr>
        <w:spacing w:after="480"/>
        <w:jc w:val="center"/>
      </w:pPr>
      <w:r>
        <w:rPr>
          <w:i/>
          <w:color w:val="2E74B5"/>
          <w:sz w:val="28"/>
        </w:rPr>
        <w:t>Requisitos Funcionales y No Funcionales · Ley 21.719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v1.10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Creación inicial del documento de requisitos.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Auditoría técnica: módulos Consentimientos (RF-095 a RF-098) y Tickets ARCO (RF-099 a RF-105).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_Auditoría v1.2: módulo Feriados (RF-110 a RF-113), fixes P0 (token blacklist, IDOR, CSV sanitize, hash chain)._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RBAC fixes DT-014 (RF-114), DT-015 (RF-115), /health endpoint (RF-116)._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_Integración OCI Object Storage (RF-117), Admin Asesor IA (RF-118), descarga con PAR/signed GET (RF-119)._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(RF-120), Encryption at Rest Fernet (RF-121), Service Layer (RF-122), Schemas Pydantic (RF-123)._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_UI/UX: RatDetailModal tabs (RF-124), Drawer responsive (RF-125), Dashboard clickable (RF-126), Sort estable (RF-127), Fix IDOR /archivo (RF-128)._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Sprint 1: FORMADMIN ARCO QW1-QW10 (RF-129 a RF-136). Sprint 2: SLA Alert T-2d (RF-137 a RF-138), Export ARCO CSV/Excel/PDF (RF-139 a RF-140).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_Iter 11: 15 campos Tier 1+Tier 2 RAT (RF-141 a RF-149). Iter 12: 9 fixes CRITICOS+ALTOS (RF-150 a RF-158). Score 6.3/10 (RAT 6.2, ARCO 6.8, Brechas 5.9)._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1.9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Julio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_IDOR multi-tenant en 6 endpoints (RF-163). base_legal_valida strict (RF-164). ConsentimientoAlert (RF-165). Homologación orden campos RAT (RF-166). PDF con títulos sección (RF-167). Encoding UTF-8 fix (RF-168). Código muerto eliminado (RF-169)._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Levantamiento de Requisitos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sz w:val="22"/>
        </w:rPr>
        <w:t>Este documento levanta, en formato numerado y trazable, los requisitos funcionales (RF) y no funcionales (RNF) del sistema Custodio RAT Manager, derivados del código fuente y de la documentación existente. Cada requisito tiene un identificador único que será referenciado por las Historias de Usuario (HU-###), los Casos de Uso (CU-###) y los Casos de Prueba (TC-###).</w:t>
      </w:r>
    </w:p>
    <w:p>
      <w:pPr>
        <w:pStyle w:val="Heading1"/>
      </w:pPr>
      <w:r>
        <w:t>2. Actores del sistema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Actor</w:t>
            </w:r>
          </w:p>
        </w:tc>
        <w:tc>
          <w:tcPr>
            <w:tcW w:type="dxa" w:w="635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Superadministrador (superadmin)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Usuario con acceso total al sistema.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AC-02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Administrador de empresa (admin_empresa)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Gestiona usuarios, RATs, brechas de su empresa. No ve otras empresas.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AC-03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Usuario (usuario)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Consulta y operación limitada. No puede eliminar ni gestionar usuarios.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AC-04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DPO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Contacto en la empresa (contacto_dpo, email_dpo).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AC-05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Titular de datos (externo)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Formulario público ARCO en /solicitud_derecho.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AC-06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Auditor / APDC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Descarga evidencia vía PDF, CSV, CNI.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AC-07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sz w:val="20"/>
              </w:rPr>
              <w:t>Sistema de IA</w:t>
            </w:r>
          </w:p>
        </w:tc>
        <w:tc>
          <w:tcPr>
            <w:tcW w:type="dxa" w:w="6350"/>
            <w:vAlign w:val="top"/>
          </w:tcPr>
          <w:p>
            <w:r/>
            <w:r>
              <w:rPr>
                <w:sz w:val="20"/>
              </w:rPr>
              <w:t>Servicio externo opcional (OpenAI/MiniMax).</w:t>
            </w:r>
          </w:p>
        </w:tc>
      </w:tr>
    </w:tbl>
    <w:p>
      <w:pPr>
        <w:pStyle w:val="Heading1"/>
      </w:pPr>
      <w:r>
        <w:t>3. Requisitos funcionales (RF)</w:t>
      </w:r>
    </w:p>
    <w:p>
      <w:pPr>
        <w:pStyle w:val="Heading2"/>
      </w:pPr>
      <w:r>
        <w:t>3.1 Módulo de autenticación y usuarios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Login con JWT (8h) y cookie httpOnly.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Cambiar password propio (6 chars mínimo).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Admin cambia password de cualquier usuario.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_Logout con revocación de token (blacklist LRU 1000 slots)._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Rate limit login 5/min por IP.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Auto-seed superadmin con SEED_ADMIN=true.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Roles: superadmin, admin_empresa, usuario.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RF-008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Listar, actualizar y eliminar usuarios.</w:t>
            </w:r>
          </w:p>
        </w:tc>
      </w:tr>
    </w:tbl>
    <w:p>
      <w:pPr>
        <w:pStyle w:val="Heading2"/>
      </w:pPr>
      <w:r>
        <w:t>3.2 Módulo de empresas y multi-tenancy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CRUD empresas con RUT chileno validado.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RF-011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Editar y eliminar empresas (superadmin para eliminar).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RF-012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Asignar usuarios a empresas (tabla user_companies).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RF-013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Aislamiento multi-tenant con check_company_access (IDOR protection).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RF-014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Selección de empresa activa desde Topbar/sidebar.</w:t>
            </w:r>
          </w:p>
        </w:tc>
      </w:tr>
    </w:tbl>
    <w:p>
      <w:pPr>
        <w:pStyle w:val="Heading2"/>
      </w:pPr>
      <w:r>
        <w:t>3.3 Módulo RAT (Art. 15 y 16 Ley 21.719)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7 campos mínimos RAT del Art. 16.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3 campos recomendados adicionales.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Marcar RAT como 'datos_sensibles'.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EIPD (Evaluación de Impacto) por RAT.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Base legal (6 opciones).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Test de 3 pasos para interés legítimo (mínimo 50 caracteres).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Adjuntar documento de base legal (límite 10 MB).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Cálculo automático de completitud.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Cálculo de nivel de riesgo (bajo/medio/alto/crítico).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RF-029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Transiciones de estado: borrador→completo→en_revision→aprobado.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Duplicar RAT con prefijo 'Copia de'.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Eliminar RAT con confirmación.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_Registro de auditoría en audit_log con hash chain._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Registrar revisión periódica (POST /rats/{id}/revision).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Aprobar RAT (POST /rats/{id}/aprobar).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RF-035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_Descargar documento de base legal (GET /rats/{id}/archivo) con fallback OCI._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_Almacenar documentos de base legal en OCI Object Storage con fallback a BYTEA._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_Descarga de archivos con URL pre-firmada (PAR) o signed GET directo._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RF-120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_CSRF protection con cookies samesite=lax y CSRFMiddleware._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RF-121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_Encryption at Rest con Fernet para BYTEA (RAT + EncargadoContrato + tkt_adjuntos)._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RF-122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_Service Layer: 5 servicios nuevos (EIPD, Feriado, Consentimiento, EncargadoContrato, SolicitudDerecho)._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RF-123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_Schemas Pydantic response_model en 35+ endpoints._</w:t>
            </w:r>
          </w:p>
        </w:tc>
      </w:tr>
    </w:tbl>
    <w:p>
      <w:pPr>
        <w:pStyle w:val="Heading2"/>
      </w:pPr>
      <w:r>
        <w:t>3.4 Módulo de sugerencias de RAT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RF-040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Listar tipos de proceso (GET /rats/sugerencias/tipos).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RF-041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Sugerencia precompletada por tipo (POST /rats/sugerencias).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RF-042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Gestionar rubros y RATs sugeridos.</w:t>
            </w:r>
          </w:p>
        </w:tc>
      </w:tr>
    </w:tbl>
    <w:p>
      <w:pPr>
        <w:pStyle w:val="Heading2"/>
      </w:pPr>
      <w:r>
        <w:t>3.5 Módulo de brechas de seguridad (Art. 14 bis)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RF-050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Registro de brecha con descripción, fecha, RATs afectados, datos comprometidos.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RF-051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Alerta de plazo APDC 72h.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RF-052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Editar y eliminar brechas.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RF-053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Filtrar brechas por empresa.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RBAC: rol usuario NO puede crear brechas (DT-015, 6209e2d). Retorna 403.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Notificación APDC automatizada al marcar notificado_apdc=true en actualizar_brecha (Art. 28.3 Ley 21.719).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Notificación a titulares automatizada al marcar notificado_titulares=true en actualizar_brecha (sin dilación, Art. 14 bis).</w:t>
            </w:r>
          </w:p>
        </w:tc>
      </w:tr>
    </w:tbl>
    <w:p>
      <w:pPr>
        <w:pStyle w:val="Heading2"/>
      </w:pPr>
      <w:r>
        <w:t>3.6 Módulo de derechos ARCO (Art. 14 y 16 bis)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Formulario público /solicitud_derecho para ejercer derechos ARCO.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Token temporal 5 min contra ataques automatizados.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Titular se identifica con nombre, RUT opcional, email, descripción 2000 chars.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Ticket de gestión (TktSolicitudDerecho) creado automáticamente.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Equipo responde: cambia estado y registra historial.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RF-065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Adjuntar notas y archivos al ticket.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Hash SHA-256 de evidencia computado automáticamente al resolver TKT (hash de todos los adjuntos del ticket).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causal_rechazo con enum cerrado (7 causales Art. 29 RL): falta_identidad, solicitud_manifiestamente_infundada, solicitud_excesiva, falta_poder_notorial, plazo_vencido, identidad_no_verificada, otro.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Touch target toggle ARCO de 44x44px en formulario público /solicitud_derecho (mobile accessibility WCAG 2.1).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TKT no puede resolverse como 'resuelto' sin evidencia ni hash (validación HTTP 400 en PATCH /tkt-solicitud-derecho/{id}).</w:t>
            </w:r>
          </w:p>
        </w:tc>
      </w:tr>
    </w:tbl>
    <w:p>
      <w:pPr>
        <w:pStyle w:val="Heading2"/>
      </w:pPr>
      <w:r>
        <w:t>3.7 Módulo de Consentimientos (Art. 12 Ley 21.719)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Registrar consentimiento expreso: nombre titular, email, canal, texto, fecha.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Almacenar IP de origen (ip_origen) para cada consentimiento.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Revocar consentimiento: marca como inactivo + fecha revocación.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Asociar consentimiento a RAT (N:1) y empresa (N:1).</w:t>
            </w:r>
          </w:p>
        </w:tc>
      </w:tr>
    </w:tbl>
    <w:p>
      <w:pPr>
        <w:pStyle w:val="Heading2"/>
      </w:pPr>
      <w:r>
        <w:t>3.8 Módulo de Tickets ARCO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Crear ticket ARCO manualmente asociado a empresa.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Gestionar estado: ABIERTO, EN_PROCESO, PENDIENTE, RESUELTO.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Gestionar prioridad: BAJA, NORMAL, URGENTE.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Registrar origen: WEB, EMAIL, TELEFONO, PRESENCIAL, MANUAL.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Agregar notas internas con usuario y timestamp.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Historial de cambios de estado.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Fecha de vencimiento SLA 10 días hábiles Chile.</w:t>
            </w:r>
          </w:p>
        </w:tc>
      </w:tr>
    </w:tbl>
    <w:p>
      <w:pPr>
        <w:pStyle w:val="Heading2"/>
      </w:pPr>
      <w:r>
        <w:t>3.9 Módulo EIPD (Art. 15 bis Ley 21.719)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Gestionar Evaluaciones de Impacto en Protección de Datos (EIPD) asociadas a RATs.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Crear EIPD vinculado 1:1 a un RAT.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Actualizar EIPD con workflow (borrador → en proceso → completado).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Listar EIPDs de la empresa con filtros.</w:t>
            </w:r>
          </w:p>
        </w:tc>
      </w:tr>
    </w:tbl>
    <w:p>
      <w:pPr>
        <w:pStyle w:val="Heading2"/>
      </w:pPr>
      <w:r>
        <w:t>3.10 Módulo de reportes y exportaciones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Sanitizar CSV contra inyección (=, +, -, @ prefix apostrophe).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Exportar RATs a PDF (GET /rats/export/pdf).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Exportar RAT individual a PDF.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Exportar RAT en formato CNI.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Filtros y ordenamiento con paginación.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RF-075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KPIs por empresa (GET /rats/dashboard/{company_id}).</w:t>
            </w:r>
          </w:p>
        </w:tc>
      </w:tr>
    </w:tbl>
    <w:p>
      <w:pPr>
        <w:pStyle w:val="Heading2"/>
      </w:pPr>
      <w:r>
        <w:t>3.11 Módulo de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RF-080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Registrar operaciones CRUD en audit_log.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RF-081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Hash chain en audit_log: SHA256(prev_hash + timestamp + ...).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RF-082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Auditoría global por empresa.</w:t>
            </w:r>
          </w:p>
        </w:tc>
      </w:tr>
    </w:tbl>
    <w:p>
      <w:pPr>
        <w:pStyle w:val="Heading2"/>
      </w:pPr>
      <w:r>
        <w:t>3.12 Módulo de Inteligencia Artificial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 (opcional)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Chat IA contextual (POST /ai/ask).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RF-091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 (opcional)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Integración configurable: MINIMAX_API_KEY u OPENAI_API_KEY.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</w:rPr>
              <w:t>_Gestionar corpus del asesor IA (indexar, stats, eliminar chunks) por superadmin._</w:t>
            </w:r>
          </w:p>
        </w:tc>
      </w:tr>
    </w:tbl>
    <w:p>
      <w:pPr>
        <w:pStyle w:val="Heading2"/>
      </w:pPr>
      <w:r>
        <w:t>3.13 Módulo de Feriados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CRUD feriados nacionales chilenos (fecha, nombre, tipo).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Upload bulk CSV UTF-8 BOM.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Exportar feriados a CSV.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RF-113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Cálculo de días hábiles Chile para SLA tickets ARCO.</w:t>
            </w:r>
          </w:p>
        </w:tc>
      </w:tr>
    </w:tbl>
    <w:p>
      <w:pPr>
        <w:pStyle w:val="Heading2"/>
      </w:pPr>
      <w:r>
        <w:t>3.14 Sprint 1: Formulario Admin ARCO QW1-QW10 (Junio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RF-129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Validar y formatear RUT chileno en vivo con algoritmo dígito verificador + formateo automático (12.345.678-9).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Confirmación de email (doble input) con validación visual: borde rojo si no coinciden.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Tooltip ⓘ en campo Tipo con Arts. 12, 12 bis, 12 ter Ley 21.719 visibles.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Helper text en Prioridad: '2 días hábiles / 10 días hábiles / sin urgencia'.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Detección de titular duplicado: banner amarillo expandable tras debounce 800ms (GET /check-duplicado).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Selector RAT con búsqueda: debounce 300ms, listarRats(), pre-selección.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Campos representante legal (nombre + RUT) en sección colapsable (80% sin representante).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Date picker para fecha retroactiva: max=hoy. Nuevos campos: telefono, pais, fecha_nacimiento.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WCAG básico: aria-label y aria-required en todos los campos del formulario.</w:t>
            </w:r>
          </w:p>
        </w:tc>
      </w:tr>
    </w:tbl>
    <w:p>
      <w:pPr>
        <w:pStyle w:val="Heading2"/>
      </w:pPr>
      <w:r>
        <w:t>3.15 Sprint 2: SLA Alert T-2d + Export ARCO (Junio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SLA Alert T-2 días: TaskType.SLA_ALERT_T2, _run_sla_alert_t2() detecta tickets con ≤2 días o vencidos, agrupados por empresa, email grupal al DPO con tabla HTML.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RF-139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GitHub Actions workflow sla-alert.yml: cron cada 4h + workflow_dispatch, encola tarea SLA_ALERT_T2.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Export tickets ARCO CSV/Excel/PDF: export_tkt_service.py con csv.writer, openpyxl y reportlab. Endpoints GET /export/tkt/{csv,excel,pdf} con 5 filtros.</w:t>
            </w:r>
          </w:p>
        </w:tc>
      </w:tr>
    </w:tbl>
    <w:p>
      <w:pPr>
        <w:pStyle w:val="Heading2"/>
      </w:pPr>
      <w:r>
        <w:t>3.16 Iter 11: 15 Campos Tier 1+Tier 2 RAT (Junio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datos_nna: 'ninos', 'adolescentes', 'ambos', 'ninguno' — para identificar tratamiento de menores de edad (Art. 2 letra g + Art. 16 Ley 21.719).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nivel_confidencialidad: DC1/DC2/DC3/DC4 — nivel de confidencialidad del dato según clasificación interna.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estructura_dato: 'estructurado', 'semiestructurado', 'no_estructurado' — para diferenciar tipos de datos tratados.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datos_anonimizados: booleano — indica si los datos fueron anonimizados antes del tratamiento.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datos_seudonimizados: booleano — indica si los datos fueron seudonimizados.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ciclo_procesamiento: ciclo de vida del dato — 'recoleccion', 'almacenamiento', 'uso', 'comparticion', 'archivo', 'eliminacion'.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automatizacion: grado de automatización — '100% manual', 'mayoritariamente manual', 'mayoritariamente automatizado', '100% automatizado'.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frecuencia: 'puntual', 'diaria', 'semanal', 'mensual', 'trimestral', 'anual' — frecuencia de tratamiento.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RF-149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transferencia_nacional: booleano — indica si hay transferencias de datos dentro de Chile.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doc_clausulas: texto libre — documento/cláusula que da origen al tratamiento.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medidas_organizativas: texto libre — medidas organizativas de seguridad implementadas.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mecanismos_eliminacion: 'destruccion_fisica', 'borrado_seguro', 'devolucion_proveedor' — mecanismo de eliminación al fin del ciclo.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tecnica_anonimizacion: técnica usada — 'k_anonymity', 'perturbacion', 'pseudonimizacion', 'agregacion'.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origen_dato_portabilidad: 'directamente_titular', 'fuentes_publicas', 'de_terceros', 'generado_sistema' — origen del dato para portabilidad.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Campo fecha_levantamiento: fecha de la última actualización/levantamiento del registro RAT.</w:t>
            </w:r>
          </w:p>
        </w:tc>
      </w:tr>
    </w:tbl>
    <w:p>
      <w:pPr>
        <w:pStyle w:val="Heading2"/>
      </w:pPr>
      <w:r>
        <w:t>3.17 Iter 12: Fixes CRÍTICOS y ALTOS del Audit-Loop (Junio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BYTEA limitado a 10 MB: CHECK constraint octet_length &lt;= 10_000_000 en rats.archivo_base_legal_datos y tkt_adjuntos.data (PostgreSQL). DoS protection.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Test IL validación mínimo 50 caracteres: Pydantic Field(min_length=50) en test_interes_legitimo. RatWizard y RatEditForm validan en frontend con toast error si &lt;50 chars (Art. 16 Ley 21.719).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Hash SHA-256 automático evidencia ARCO: PATCH /tkt-solicitud-derecho/{id} computa SHA-256 de todos los adjuntos al resolver. HTTP 400 si no hay evidencia ni hash.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RF-159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causal_rechazo enum cerrado: CausalRechazoEnum con 7 valores (Art. 29 RL): falta_identidad, solicitud_manifiestamente_infundada, solicitud_excesiva, falta_poder_notorial, plazo_vencido, identidad_no_verificada, otro. Dropdown en TicketDrawer.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Toggle ARCO touch target 44x44px: w-11 h-11 en solicitud_derecho/page.tsx. Mobile accessibility WCAG 2.1 Level AA.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Notificación APDC automatizada: actualizar_brecha() envía email al DPO cuando notificado_apdc=true.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Notificación titulares automatizada: actualizar_brecha() loguea cuando notificado_titulares=true (preparado para automatizar por canal).</w:t>
            </w:r>
          </w:p>
        </w:tc>
      </w:tr>
    </w:tbl>
    <w:p>
      <w:pPr>
        <w:pStyle w:val="Heading2"/>
      </w:pPr>
      <w:r>
        <w:t>3.18 Fixes v1.10: IDOR multi-tenant, encoding, homologación y PDF (Julio 2026)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Estado</w:t>
            </w:r>
          </w:p>
        </w:tc>
        <w:tc>
          <w:tcPr>
            <w:tcW w:type="dxa" w:w="6973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IDOR multi-tenant en 6 endpoints RAT: GET /rats/{id}, PUT /rats/{id}, DELETE /rats/{id}, POST /rats/{id}/revision, POST /rats/{id}/aprobar, GET /rats/{id}/auditoria. get_rat_for_user() retorna 404 si empresa no coincide (no filtra existencia), superadmin accede a todos.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base_legal_valida strict: validación contra enum taxativo (consentimiento, interes_legitimo, contrato, obligacion_legal, tarea_publica, interes_publico). Antes siempre retornaba v.strip() sin verificar.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ConsentimientoAlert en RatEditForm.handleSave(): listarConsentimientos(company_id, rat.id, true) antes de guardar. Si datos_sensibles=True y no hay consentimiento activo → toast error y no guarda.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Homologación orden campos RAT entre RatDetailView, RatEditForm, RatWizard y PDF: orden canónico de 5 pasos (Identificación → Datos tratados → Finalidad y ley → Almacenamiento → Compliance operativo). Eliminada sección duplicada en RatDetailView.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PDF con títulos de sección: PASO 1 — IDENTIFICACIÓN, PASO 2 — DATOS TRATADOS, etc. con fondo COLOR_PRIMARIO (#1B3A6B) y texto blanco bold. Alertas rojas (datos sensibles, transferencia internacional, EIPD pendiente) al final de cada ficha.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Encoding UTF-8 corregido en backend: ALERTAS_AUDITORIA (garabatos → emojis ⚠️🔒🚨📋🌍🤖⚖️⏳📄), regex a├▒o → año, base_legal_valida con tildes, conftest.py rat_base fixture, main.py log seed admin.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b/>
                <w:sz w:val="20"/>
              </w:rPr>
              <w:t>RF-169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Implementado</w:t>
            </w:r>
          </w:p>
        </w:tc>
        <w:tc>
          <w:tcPr>
            <w:tcW w:type="dxa" w:w="6973"/>
            <w:vAlign w:val="top"/>
          </w:tcPr>
          <w:p>
            <w:r/>
            <w:r>
              <w:rPr>
                <w:sz w:val="20"/>
                <w:u w:val="single"/>
              </w:rPr>
              <w:t>Código muerto eliminado: return duplicado rats.py:291, model_dump duplicado rat_service.py:253.</w:t>
            </w:r>
          </w:p>
        </w:tc>
      </w:tr>
    </w:tbl>
    <w:p>
      <w:pPr>
        <w:pStyle w:val="Heading1"/>
      </w:pPr>
      <w:r>
        <w:t>4. Requisitos No Funcionales</w:t>
      </w:r>
    </w:p>
    <w:p>
      <w:pPr>
        <w:pStyle w:val="Heading2"/>
      </w:pPr>
      <w:r>
        <w:t>4.1 Seguridad y autenticación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78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Contraseñas hasheadas con bcrypt (passlib + bcrypt).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JWT HS256 con expiración 8h.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Cookies httpOnly y Secure en producción.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Revocación de tokens con blacklist LRU (1000 slots).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RNF-005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Rate limiting: login 5/min, cambio password 5/min, ARCO 3/hora, logout 10/min.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RNF-006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CORS estricto: regex 'https://.*\.vercel\.app'.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RNF-007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SECRET_KEY obligatoria en producción.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RNF-008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Sanitización CSV contra inyección de fórmulas.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RNF-009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Validación de acceso por empresa en todos los endpoints con company_id.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RNF-114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RBAC: admin_empresa solo crea RATs en sus empresas asignadas (DT-014).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RNF-115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RBAC: rol usuario no puede crear brechas de seguridad (DT-015).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RNF-116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CRÍTICO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BYTEA con CHECK constraint 10 MB en PostgreSQL: rats.archivo_base_legal_datos, tkt_adjuntos.data. DoS protection.</w:t>
            </w:r>
          </w:p>
        </w:tc>
      </w:tr>
    </w:tbl>
    <w:p>
      <w:pPr>
        <w:pStyle w:val="Heading2"/>
      </w:pPr>
      <w:r>
        <w:t>4.2 Rendimiento y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78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RNF-010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/health/db responde en menos de 500ms.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RNF-011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Paginación: 200 RATs por defecto, 50 por página en reportes.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RNF-012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Disponibilidad 99.5% en Vercel.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RNF-013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PDF de RAT individual en menos de 3s.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RNF-014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Optimización N+1 con selectinload/joinedload.</w:t>
            </w:r>
          </w:p>
        </w:tc>
      </w:tr>
    </w:tbl>
    <w:p>
      <w:pPr>
        <w:pStyle w:val="Heading2"/>
      </w:pPr>
      <w:r>
        <w:t>4.3 Cumplimiento normativo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78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Campos mínimos RAT del Art. 16.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Alertas: consentimiento inválido biometría, EIPD obligatoria, plazos 72h, transferencias.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Exportación RAT en formato CNI para APDC.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Ejercicio de derechos ARCO (Art. 14 y 16 bis).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PII masking en logs (email, RUT, IP, tokens, passwords).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RNF-025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Test IL mínimo 50 caracteres para ser válido como documentación (Art. 16 Ley 21.719).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RNF-026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causal_rechazo enum cerrado Art. 29 RL para rechazos ARCO.</w:t>
            </w:r>
          </w:p>
        </w:tc>
      </w:tr>
    </w:tbl>
    <w:p>
      <w:pPr>
        <w:pStyle w:val="Heading2"/>
      </w:pPr>
      <w:r>
        <w:t>4.4 Usabilidad y accesibilidad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78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RNF-030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Responsive: sidebar colapsa a menú hamburguesa &lt; 768px.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RNF-031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Navegación completa por teclado en flujos principales.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RNF-032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Toasts (Sonner) en operaciones exitosas y erróneas.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RNF-033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Wizard de 4 pasos con barra de progreso para RAT.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RNF-034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Touch target mínimo 44x44px en controles ARCO para accessibility mobile WCAG 2.1.</w:t>
            </w:r>
          </w:p>
        </w:tc>
      </w:tr>
    </w:tbl>
    <w:p>
      <w:pPr>
        <w:pStyle w:val="Heading2"/>
      </w:pPr>
      <w:r>
        <w:t>4.5 Mantenibilidad y calidad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78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RNF-040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Cobertura de tests mínima 80% en endpoints críticos.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RNF-041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Patrón: rutas → servicios → modelos con schemas Pydantic separados.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RNF-042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TypeScript strict mode en frontend.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RNF-043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</w:rPr>
              <w:t>Migración SQLite → PostgreSQL (Neon) sin pérdida.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RNF-044</w:t>
            </w:r>
          </w:p>
        </w:tc>
        <w:tc>
          <w:tcPr>
            <w:tcW w:type="dxa" w:w="1020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7880"/>
            <w:vAlign w:val="top"/>
          </w:tcPr>
          <w:p>
            <w:r/>
            <w:r>
              <w:rPr>
                <w:sz w:val="20"/>
                <w:u w:val="single"/>
              </w:rPr>
              <w:t>Patrón Repository (app/repositories/) para separar lógica de acceso a datos.</w:t>
            </w:r>
          </w:p>
        </w:tc>
      </w:tr>
    </w:tbl>
    <w:p>
      <w:pPr>
        <w:pStyle w:val="Heading1"/>
      </w:pPr>
      <w:r>
        <w:t>5. Restricciones y supuestos</w:t>
      </w:r>
    </w:p>
    <w:p>
      <w:pPr>
        <w:pStyle w:val="ListBullet"/>
        <w:spacing w:after="40"/>
        <w:ind w:left="340"/>
      </w:pPr>
      <w:r>
        <w:rPr>
          <w:b/>
          <w:sz w:val="22"/>
        </w:rPr>
        <w:t xml:space="preserve">Plataforma: </w:t>
      </w:r>
      <w:r>
        <w:rPr>
          <w:sz w:val="22"/>
        </w:rPr>
        <w:t>Vercel serverless: máx 60s hobby, 300s pro por request.</w:t>
      </w:r>
    </w:p>
    <w:p>
      <w:pPr>
        <w:pStyle w:val="ListBullet"/>
        <w:spacing w:after="40"/>
        <w:ind w:left="340"/>
      </w:pPr>
      <w:r>
        <w:rPr>
          <w:b/>
          <w:sz w:val="22"/>
        </w:rPr>
        <w:t xml:space="preserve">Almacenamiento: </w:t>
      </w:r>
      <w:r>
        <w:rPr>
          <w:sz w:val="22"/>
        </w:rPr>
        <w:t>Archivos en OCI Object Storage con fallback a BYTEA (límite 10 MB por archivo).</w:t>
      </w:r>
    </w:p>
    <w:p>
      <w:pPr>
        <w:pStyle w:val="ListBullet"/>
        <w:spacing w:after="40"/>
        <w:ind w:left="340"/>
      </w:pPr>
      <w:r>
        <w:rPr>
          <w:b/>
          <w:sz w:val="22"/>
        </w:rPr>
        <w:t xml:space="preserve">Disponibilidad: </w:t>
      </w:r>
      <w:r>
        <w:rPr>
          <w:sz w:val="22"/>
        </w:rPr>
        <w:t>Dependencia de Neon PostgreSQL en producción.</w:t>
      </w:r>
    </w:p>
    <w:p>
      <w:pPr>
        <w:pStyle w:val="ListBullet"/>
        <w:spacing w:after="40"/>
        <w:ind w:left="340"/>
      </w:pPr>
      <w:r>
        <w:rPr>
          <w:b/>
          <w:sz w:val="22"/>
        </w:rPr>
        <w:t xml:space="preserve">Marco legal: </w:t>
      </w:r>
      <w:r>
        <w:rPr>
          <w:sz w:val="22"/>
        </w:rPr>
        <w:t>Ley 21.719 entra en vigencia general el 1-dic-2026.</w:t>
      </w:r>
    </w:p>
    <w:p>
      <w:pPr>
        <w:pStyle w:val="Heading1"/>
      </w:pPr>
      <w:r>
        <w:t>6. Trazabilidad</w:t>
      </w:r>
    </w:p>
    <w:p>
      <w:r>
        <w:rPr>
          <w:sz w:val="22"/>
        </w:rPr>
        <w:t>La matriz de trazabilidad completa (CUST-DOC-MATRIZ) vincula RF → HU → CU → TC.</w:t>
      </w:r>
    </w:p>
    <w:p>
      <w:pPr>
        <w:pStyle w:val="Heading1"/>
      </w:pPr>
      <w:r>
        <w:t>Apéndice B — Riesgos identificados</w:t>
      </w:r>
    </w:p>
    <w:p>
      <w:r>
        <w:rPr>
          <w:i/>
          <w:sz w:val="22"/>
        </w:rPr>
        <w:t>Riesgos detectados durante la auditoría documental y técnica: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Riesgos identificados durante la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R-RF-01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Sin hash chain previo a v1.2, auditoría histórica no verificable.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R-RF-02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Pendientes: Z-01 (security headers), Z-02 (CORS restrictivo), Z-03 (file upload validation).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Medio</w:t>
            </w:r>
          </w:p>
        </w:tc>
      </w:tr>
    </w:tbl>
    <w:p>
      <w:pPr>
        <w:pStyle w:val="Heading1"/>
      </w:pPr>
      <w:r>
        <w:t>Apéndice C — Índice de identificadores</w:t>
      </w:r>
    </w:p>
    <w:p>
      <w:r>
        <w:rPr>
          <w:i/>
          <w:sz w:val="22"/>
        </w:rPr>
        <w:t>Identificadores únicos referenciados a lo largo del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RF-###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Requisito Funcional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Capacidad observable del sistema.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RNF-###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Requisito No Funcional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Restricción de calidad o seguridad.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AC-###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Actor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Persona o sistema que interactúa con el sistema.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p>
      <w:pPr>
        <w:pStyle w:val="Heading1"/>
      </w:pPr>
      <w:r>
        <w:t>Requisitos Funcionales v1.12 (Septiembre 2026)</w:t>
      </w:r>
    </w:p>
    <w:p>
      <w:r>
        <w:t>Los siguientes requisitos funcionales fueron añadidos en la iteración v1.12: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803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RF-174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ARCO público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GET /publico/verificar-titular: banner amarillo si el email ya tiene un TKT abierto (Art. 12).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RF-175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ARCO público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POST /tkt-solicitud-derecho/: acuse de recibo automático al titular con código de seguimiento y plazo (email en ≤5 min).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RF-176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ARCO interno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TicketDrawer.tsx: chips de placeholders dinámicos bajo el textarea de respuesta para agilizar redacción.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RF-177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ARCO interno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FlujoModal.tsx: semáforo SLA visual (verde/amarillo/rojo) con días hábiles transcurridos y restantes.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RF-178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Empresas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CompanyFichaPanel.tsx: ficha completa de empresa con 4 tabs lazy (RATs, ARCO, Brechas, Stats) — Art. 16 Ley 21.719.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RF-179</w:t>
            </w:r>
          </w:p>
        </w:tc>
        <w:tc>
          <w:tcPr>
            <w:tcW w:type="dxa" w:w="85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DevSecOps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CI/CD pip-audit: cero vulnerabilidades críticas en dependencias Python antes de cada deploy.</w:t>
            </w:r>
          </w:p>
        </w:tc>
      </w:tr>
    </w:tbl>
    <w:p>
      <w:pPr>
        <w:pStyle w:val="Heading2"/>
      </w:pPr>
      <w:r>
        <w:t>Requisitos No Funcionales v1.12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RNF</w:t>
            </w:r>
          </w:p>
        </w:tc>
        <w:tc>
          <w:tcPr>
            <w:tcW w:type="dxa" w:w="2268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6803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RNF-21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Global (código, tests, docs)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Nomenclatura APDP: usar 'titular' en lugar de 'solicitante' en toda la aplicación (art. 12 Ley 21.719).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RNF-22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GET /publico/verificar-titular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Rate-limit: máximo 10 peticiones por hora por IP para prevenir abuso de la búsqueda por email.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Levantamiento de Requisitos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Levantamiento de Requisitos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v1.10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