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4"/>
        </w:rPr>
        <w:t xml:space="preserve">  ▣  CUSTODIO  ·  CUSTODIO RAT MANAGER  </w:t>
      </w:r>
    </w:p>
    <w:p>
      <w:pPr>
        <w:spacing w:before="720" w:after="120"/>
        <w:jc w:val="center"/>
      </w:pPr>
      <w:r>
        <w:rPr>
          <w:i/>
          <w:color w:val="808080"/>
          <w:sz w:val="22"/>
        </w:rPr>
        <w:t>CUST-DOC-09</w:t>
      </w:r>
    </w:p>
    <w:p/>
    <w:p/>
    <w:p>
      <w:pPr>
        <w:spacing w:after="240"/>
        <w:jc w:val="center"/>
      </w:pPr>
      <w:r>
        <w:rPr>
          <w:b/>
          <w:color w:val="1F497D"/>
          <w:sz w:val="56"/>
        </w:rPr>
        <w:t>BACKLOG DE PRODUCTO</w:t>
      </w:r>
    </w:p>
    <w:p>
      <w:pPr>
        <w:spacing w:after="480"/>
        <w:jc w:val="center"/>
      </w:pPr>
      <w:r>
        <w:rPr>
          <w:i/>
          <w:color w:val="2E74B5"/>
          <w:sz w:val="28"/>
        </w:rPr>
        <w:t>User Stories, Features y Bugs · Priorización OLA-1 a OLA-3</w:t>
      </w:r>
    </w:p>
    <w:p/>
    <w:p/>
    <w:p>
      <w:pPr>
        <w:jc w:val="center"/>
        <w:pBdr>
          <w:bottom w:val="single" w:sz="12" w:space="1" w:color="2E74B5"/>
        </w:pBdr>
      </w:pPr>
      <w:r>
        <w:rPr>
          <w:sz w:val="4"/>
        </w:rPr>
        <w:t xml:space="preserve">  </w:t>
      </w:r>
    </w:p>
    <w:p/>
    <w:p/>
    <w:p>
      <w:pPr>
        <w:spacing w:after="40"/>
        <w:jc w:val="center"/>
      </w:pPr>
      <w:r>
        <w:rPr>
          <w:b/>
          <w:color w:val="1F497D"/>
          <w:sz w:val="22"/>
        </w:rPr>
        <w:t xml:space="preserve">Versión:  </w:t>
      </w:r>
      <w:r>
        <w:rPr>
          <w:color w:val="404040"/>
          <w:sz w:val="22"/>
        </w:rPr>
        <w:t>v1.10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Fecha de emisión:  </w:t>
      </w:r>
      <w:r>
        <w:rPr>
          <w:color w:val="404040"/>
          <w:sz w:val="22"/>
        </w:rPr>
        <w:t>Junio 2026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Autor:  </w:t>
      </w:r>
      <w:r>
        <w:rPr>
          <w:color w:val="404040"/>
          <w:sz w:val="22"/>
        </w:rPr>
        <w:t>Equipo de Desarrollo — Custodio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Empresa responsable:  </w:t>
      </w:r>
      <w:r>
        <w:rPr>
          <w:color w:val="404040"/>
          <w:sz w:val="22"/>
        </w:rPr>
        <w:t>Custodio SpA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Clasificación:  </w:t>
      </w:r>
      <w:r>
        <w:rPr>
          <w:color w:val="404040"/>
          <w:sz w:val="22"/>
        </w:rPr>
        <w:t>Interno — Confidencial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Producto:  </w:t>
      </w:r>
      <w:r>
        <w:rPr>
          <w:color w:val="404040"/>
          <w:sz w:val="22"/>
        </w:rPr>
        <w:t>Custodio RAT Manager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Marco regulatorio:  </w:t>
      </w:r>
      <w:r>
        <w:rPr>
          <w:color w:val="404040"/>
          <w:sz w:val="22"/>
        </w:rPr>
        <w:t>Ley N.° 21.719 — Chile</w:t>
      </w:r>
    </w:p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0"/>
        </w:rPr>
        <w:t xml:space="preserve">  CUMPLIMIENTO DE LA LEY 21.719 DE PROTECCIÓN DE DATOS PERSONALES DE CHILE  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F497D"/>
          </w:tcPr>
          <w:p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417"/>
            <w:shd w:val="clear" w:color="auto" w:fill="1F497D"/>
          </w:tcPr>
          <w:p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701"/>
            <w:shd w:val="clear" w:color="auto" w:fill="1F497D"/>
          </w:tcPr>
          <w:p>
            <w:r/>
            <w:r>
              <w:rPr>
                <w:b/>
                <w:color w:val="FFFFFF"/>
              </w:rPr>
              <w:t>Autor</w:t>
            </w:r>
          </w:p>
        </w:tc>
        <w:tc>
          <w:tcPr>
            <w:tcW w:type="dxa" w:w="6004"/>
            <w:shd w:val="clear" w:color="auto" w:fill="1F497D"/>
          </w:tcPr>
          <w:p>
            <w:r/>
            <w:r>
              <w:rPr>
                <w:b/>
                <w:color w:val="FFFFFF"/>
              </w:rPr>
              <w:t>Cambios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Backlog inicial con 20 items priorizados para OLA-1.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Agregados 8 features de compliance: Token blacklist, hash chain, IDOR, CSRF, encryption.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Items de auditoría v1.2: brecha CSV injection, public company IDOR, rate limits, PII masking.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_Beta Launch: cerrados P0 de auditoría, nuevos items DT-014/DT-015/DT-016, pendientes CSRF/encryption._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_Post-OCI: OCI Object Storage con fallback chain, Admin Asesor IA._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_Seguridad: CSRF (DT-SEC-01), Encryption at Rest (DT-SEC-02), Service Layer (DT-ARC-01)._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1.6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_UI/UX: RatDetailModal (DT-UX-01), Drawer responsive (DT-UX-02), Dashboard clickable (DT-UX-03), IDOR fix (DT-UX-04)._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1.7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Sprint 1: FORMADMIN ARCO QW1-QW10. Sprint 2: SLA Alert T-2d + Export ARCO CSV/Excel/PDF.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1.8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_Iter 11+12: 9 fixes CRITICOS+ALTOS cerrados (DT-ITER12-01 a DT-ITER12-09). Score: 6.3/10. QW-ITER13: paginación, retry OCI, audit_log table._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1.9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Julio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  <w:u w:val="single"/>
              </w:rPr>
              <w:t>_IDOR multi-tenant en 6 endpoints RAT (DT-ITER13-01). base_legal_valida strict (DT-ITER13-02). ConsentimientoAlert (DT-ITER13-03). Homologación orden campos RAT (DT-ITER13-04). PDF títulos sección (DT-ITER13-05). Encoding UTF-8 fix (DT-ITER13-06)._</w:t>
            </w:r>
          </w:p>
        </w:tc>
      </w:tr>
    </w:tbl>
    <w:p/>
    <w:p>
      <w:pPr>
        <w:pStyle w:val="Heading2"/>
      </w:pPr>
      <w:r>
        <w:t>Estado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r/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86"/>
            <w:shd w:val="clear" w:color="auto" w:fill="1F497D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Nombre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Backlog de Producto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Producto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Custodio RAT Manager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Marco regulatorio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Ley N.° 21.719 de Protección de Datos Personales (Chile)</w:t>
            </w:r>
          </w:p>
        </w:tc>
      </w:tr>
    </w:tbl>
    <w:p>
      <w:r>
        <w:br w:type="page"/>
      </w:r>
    </w:p>
    <w:p>
      <w:pPr>
        <w:pStyle w:val="Heading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808080"/>
          <w:sz w:val="18"/>
        </w:rPr>
        <w:t>Sugerencia: en Microsoft Word, presione F9 sobre la tabla para actualizar el contenido y los números de página.</w:t>
      </w:r>
    </w:p>
    <w:p>
      <w:r>
        <w:br w:type="page"/>
      </w:r>
    </w:p>
    <w:p>
      <w:pPr>
        <w:pStyle w:val="Heading1"/>
      </w:pPr>
      <w:r>
        <w:t>1. Vista general del backlog</w:t>
      </w:r>
    </w:p>
    <w:p>
      <w:r>
        <w:rPr>
          <w:sz w:val="22"/>
        </w:rPr>
        <w:t>_Total: 49 items. Estado al 05-Jul-2026: 41 completados, 3 en desarrollo, 5 pendientes. Prioridad: Critical (P0) &gt; High (P1) &gt; Medium (P2) &gt; Low (P3)._</w:t>
      </w:r>
    </w:p>
    <w:p>
      <w:pPr>
        <w:pStyle w:val="Heading1"/>
      </w:pPr>
      <w:r>
        <w:t>2. Items cerrados en v1.10 (Iter 11 + Iter 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Tipo</w:t>
            </w:r>
          </w:p>
        </w:tc>
        <w:tc>
          <w:tcPr>
            <w:tcW w:type="dxa" w:w="3118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Título</w:t>
            </w:r>
          </w:p>
        </w:tc>
        <w:tc>
          <w:tcPr>
            <w:tcW w:type="dxa" w:w="1701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Archivos</w:t>
            </w:r>
          </w:p>
        </w:tc>
        <w:tc>
          <w:tcPr>
            <w:tcW w:type="dxa" w:w="96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DT-ITER12-01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  <w:u w:val="single"/>
              </w:rPr>
              <w:t>BYTEA 10MB limit en rats.archivo_base_legal_datos y tkt_adjuntos.data (CHECK constraint PostgreSQL)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LargeBinary(10_000_000) + migration SQL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DT-ITER12-02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  <w:u w:val="single"/>
              </w:rPr>
              <w:t>Test IL mínimo 50 caracteres: Pydantic Field(min_length=50) + RatWizard + RatEditForm validación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schemas/rat.py, RatWizard.tsx, RatEditForm.tsx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DT-ITER12-03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  <w:u w:val="single"/>
              </w:rPr>
              <w:t>Hash SHA-256 automático evidencia ARCO: computa de tkt_adjuntos al resolver TKT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routes/tkt_solicitud_derecho.py PATCH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DT-ITER12-04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  <w:u w:val="single"/>
              </w:rPr>
              <w:t>causal_rechazo enum cerrado (7 causales Art. 29 RL) + dropdown TicketDrawer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schemas/tkt_solicitud_derecho.py, TicketDrawer.tsx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DT-ITER12-05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  <w:u w:val="single"/>
              </w:rPr>
              <w:t>Toggle ARCO touch target 44x44px (mobile accessibility WCAG 2.1)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solicitud_derecho/page.tsx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DT-ITER12-06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  <w:u w:val="single"/>
              </w:rPr>
              <w:t>Notificación APDC automatizada: actualizar_brecha() envía email al DPO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services/breach_service.py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DT-ITER12-07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  <w:u w:val="single"/>
              </w:rPr>
              <w:t>Notificación a titulares automatizada: actualizar_brecha() loggea cuando notificado_titulares=true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services/breach_service.py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DT-ITER12-08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  <w:u w:val="single"/>
              </w:rPr>
              <w:t>TKT no puede resolverse sin evidencia: HTTP 400 si estado=resuelto sin adjuntos/hash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routes/tkt_solicitud_derecho.py PATCH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DT-ITER12-09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  <w:u w:val="single"/>
              </w:rPr>
              <w:t>15 campos Tier 1+Tier 2 RAT (datos_nna, nivel_confidencialidad, etc.)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models/rat.py, schemas/rat.py, migrations SQL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DT-ITER13-01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Bug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  <w:u w:val="single"/>
              </w:rPr>
              <w:t>IDOR multi-tenant: get_rat_for_user() en 6 endpoints RAT (404 si empresa no coincide)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routes/rats.py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DT-ITER13-02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P2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Bug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  <w:u w:val="single"/>
              </w:rPr>
              <w:t>base_legal_valida strict contra enum taxativo (6 opciones)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schemas/rat.py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DT-ITER13-03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P2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  <w:u w:val="single"/>
              </w:rPr>
              <w:t>ConsentimientoAlert: listarConsentimientos() si datos_sensibles=True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RatEditForm.tsx handleSave()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DT-ITER13-04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P2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Bug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  <w:u w:val="single"/>
              </w:rPr>
              <w:t>Homologación orden campos RAT entre RatDetailView, RatEditForm, RatWizard y PDF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RatDetailView, RatEditForm, RatWizard, export_service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DT-ITER13-05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P3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  <w:u w:val="single"/>
              </w:rPr>
              <w:t>PDF con títulos de sección y alertas rojas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export_service.py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DT-ITER13-06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P3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Bug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  <w:u w:val="single"/>
              </w:rPr>
              <w:t>Encoding UTF-8 corregido: ALERTAS_AUDITORIA, regex, conftest.py, main.py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rat_service.py, main.py, conftest.py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</w:tbl>
    <w:p>
      <w:pPr>
        <w:pStyle w:val="Heading1"/>
      </w:pPr>
      <w:r>
        <w:t>3. Items pendientes (QW-ITER14)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Tipo</w:t>
            </w:r>
          </w:p>
        </w:tc>
        <w:tc>
          <w:tcPr>
            <w:tcW w:type="dxa" w:w="3118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Título</w:t>
            </w:r>
          </w:p>
        </w:tc>
        <w:tc>
          <w:tcPr>
            <w:tcW w:type="dxa" w:w="1701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Esfuerzo estimado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QW-ITER14-01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P2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</w:rPr>
              <w:t>Paginación en listados &gt;100 registros (RAT/ARCO/Brechas)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Alto esfuerzo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QW-ITER14-02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P3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</w:rPr>
              <w:t>Retry logic en OCI uploads (resilience)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Medio esfuerzo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QW-ITER14-03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P2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</w:rPr>
              <w:t>Logs de auditoría en tabla audit_log (Art. 28 Ley 21.719)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Medio esfuerzo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QW-ITER14-04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P3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sz w:val="20"/>
              </w:rPr>
              <w:t>ALTER TABLE categoria_titulares SET NOT NULL (breaking change BD)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Medio esfuerzo</w:t>
            </w:r>
          </w:p>
        </w:tc>
      </w:tr>
    </w:tbl>
    <w:p/>
    <w:p>
      <w:pPr>
        <w:jc w:val="center"/>
      </w:pPr>
      <w:r>
        <w:rPr>
          <w:i/>
          <w:color w:val="808080"/>
          <w:sz w:val="20"/>
        </w:rPr>
        <w:t>—  Fin del documento  —</w:t>
      </w:r>
    </w:p>
    <w:p>
      <w:pPr>
        <w:pStyle w:val="Heading1"/>
      </w:pPr>
      <w:r>
        <w:t>Items Cerrados en v1.12 (Septiembre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247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85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134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5953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type="dxa" w:w="964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TKT-V112-01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Detección duplicado ARCO: GET /publico/verificar-titular — RF-174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CERRADO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TKT-V112-02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Acuse de recibo automático al titular: email en ≤5 min — RF-175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CERRADO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TKT-V112-03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Chips placeholders en TicketDrawer.tsx — RF-176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CERRADO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TKT-V112-04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Semáforo SLA en FlujoModal.tsx — RF-177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CERRADO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TKT-V112-05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Ficha empresa con 4 tabs lazy (CompanyFichaPanel.tsx) — RF-178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CERRADO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TKT-V112-06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DevSecOps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pip-audit en CI/CD: 0 vulns críticas Python — RF-179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CERRADO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TKT-V112-07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Nomenclatura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Renombrar 'solicitante' → 'titular' en toda la app — RNF-21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CERRADO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TKT-V112-08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Seguridad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Rate-limit en GET /publico/verificar-titular — RNF-22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CERRADO</w:t>
            </w:r>
          </w:p>
        </w:tc>
      </w:tr>
    </w:tbl>
    <w:p>
      <w:pPr>
        <w:pStyle w:val="Heading1"/>
      </w:pPr>
      <w:r>
        <w:t>Items Pendientes Actualizados (v1.12)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85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134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6917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QW-ITER14-01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6917"/>
          </w:tcPr>
          <w:p>
            <w:r>
              <w:rPr>
                <w:sz w:val="18"/>
              </w:rPr>
              <w:t>Paginación en listados &gt;100 registros (RAT/ARCO/Brechas/Encargados)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QW-ITER14-02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6917"/>
          </w:tcPr>
          <w:p>
            <w:r>
              <w:rPr>
                <w:sz w:val="18"/>
              </w:rPr>
              <w:t>Retry logic en OCI uploads (resiliencia ante timeouts)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QW-ITER14-03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6917"/>
          </w:tcPr>
          <w:p>
            <w:r>
              <w:rPr>
                <w:sz w:val="18"/>
              </w:rPr>
              <w:t>Logs de auditoría en tabla audit_log independiente (Art. 28 Ley 21.719)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QW-ITER14-04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6917"/>
          </w:tcPr>
          <w:p>
            <w:r>
              <w:rPr>
                <w:sz w:val="18"/>
              </w:rPr>
              <w:t>ALTER TABLE categoria_titulares SET NOT NULL (requiere migración coordinada)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417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3169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80"/>
              <w:sz w:val="16"/>
            </w:rPr>
            <w:t>Custodio RAT Manager · Ley 21.719</w:t>
          </w:r>
        </w:p>
      </w:tc>
      <w:tc>
        <w:tcPr>
          <w:tcW w:type="dxa" w:w="3169"/>
        </w:tcPr>
        <w:p>
          <w:pPr>
            <w:jc w:val="center"/>
          </w:pPr>
          <w:r>
            <w:rPr>
              <w:color w:val="808080"/>
              <w:sz w:val="16"/>
            </w:rPr>
            <w:t xml:space="preserve">Página </w:t>
          </w:r>
          <w:r>
            <w:rPr>
              <w:color w:val="808080"/>
              <w:sz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808080"/>
              <w:sz w:val="16"/>
            </w:rPr>
            <w:t xml:space="preserve"> de </w:t>
          </w:r>
          <w:r>
            <w:rPr>
              <w:color w:val="808080"/>
              <w:sz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  <w:tc>
        <w:tcPr>
          <w:tcW w:type="dxa" w:w="3402"/>
        </w:tcPr>
        <w:p>
          <w:pPr>
            <w:jc w:val="right"/>
          </w:pPr>
          <w:r>
            <w:rPr>
              <w:color w:val="808080"/>
              <w:sz w:val="16"/>
            </w:rPr>
            <w:t>Interno — Confidencial  ·  Backlog de Producto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669"/>
      <w:gridCol w:w="4303"/>
    </w:tblGrid>
    <w:tr>
      <w:tc>
        <w:tcPr>
          <w:tcW w:type="dxa" w:w="5669"/>
        </w:tcPr>
        <w:p>
          <w:pPr>
            <w:jc w:val="left"/>
            <w:pBdr>
              <w:bottom w:val="single" w:sz="6" w:space="1" w:color="1F497D"/>
            </w:pBdr>
          </w:pPr>
          <w:r>
            <w:rPr>
              <w:b/>
              <w:color w:val="1F497D"/>
              <w:sz w:val="18"/>
            </w:rPr>
            <w:t xml:space="preserve">▣  CUSTODIO  </w:t>
          </w:r>
          <w:r>
            <w:rPr>
              <w:color w:val="404040"/>
              <w:sz w:val="18"/>
            </w:rPr>
            <w:t>·  Backlog de Producto</w:t>
          </w:r>
        </w:p>
      </w:tc>
      <w:tc>
        <w:tcPr>
          <w:tcW w:type="dxa" w:w="4303"/>
        </w:tcPr>
        <w:p>
          <w:pPr>
            <w:jc w:val="right"/>
          </w:pPr>
          <w:r>
            <w:rPr>
              <w:color w:val="808080"/>
              <w:sz w:val="18"/>
            </w:rPr>
            <w:t>v1.10  ·  Junio 2026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