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v1.4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 (RF-114), DT-015 (RF-115), /health endpoint (RF-116)._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_Integración OCI Object Storage (RF-117), Admin Asesor IA (RF-118), descarga con PAR/signed GET (RF-119)._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(5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_Descargar documento de base legal (GET /rats/{id}/archivo) con fallback OCI._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_Almacenar documentos de base legal en OCI Object Storage con fallback a BYTEA._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 de archivos con URL pre-firmada (PAR) o signed GET directo._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_Gestionar corpus del asesor IA (indexar, stats, eliminar chunks) por superadmin._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OCI Object Storage con fallback a BYTEA (límite 5 MB).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CSRF (S14), encryption at rest (C1), service layer (A6).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v1.4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