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99BA" w14:textId="77777777" w:rsidR="00DE50E3" w:rsidRPr="00A8572D" w:rsidRDefault="00DE50E3" w:rsidP="00DE50E3">
      <w:pPr>
        <w:rPr>
          <w:lang w:val="en-US"/>
        </w:rPr>
      </w:pPr>
    </w:p>
    <w:p w14:paraId="2BEF7141" w14:textId="77777777" w:rsidR="00DE50E3" w:rsidRDefault="00DE50E3" w:rsidP="00DE50E3"/>
    <w:p w14:paraId="1BD887AF" w14:textId="77777777" w:rsidR="00DE50E3" w:rsidRDefault="00DE50E3" w:rsidP="00DE50E3"/>
    <w:p w14:paraId="5CD9F979" w14:textId="77777777" w:rsidR="00DE50E3" w:rsidRDefault="00DE50E3" w:rsidP="00DE50E3"/>
    <w:p w14:paraId="314479F0" w14:textId="77777777" w:rsidR="00DE50E3" w:rsidRDefault="00DE50E3" w:rsidP="00DE50E3"/>
    <w:p w14:paraId="2B06C401" w14:textId="77777777" w:rsidR="00DE50E3" w:rsidRDefault="00DE50E3" w:rsidP="00DE50E3"/>
    <w:p w14:paraId="3D9A2FB5" w14:textId="77777777" w:rsidR="00DE50E3" w:rsidRDefault="00DE50E3" w:rsidP="00DE50E3"/>
    <w:p w14:paraId="5F250852" w14:textId="77777777" w:rsidR="00DE50E3" w:rsidRDefault="00DE50E3" w:rsidP="00DE50E3"/>
    <w:p w14:paraId="2ABD1C44" w14:textId="77777777" w:rsidR="00DE50E3" w:rsidRDefault="00DE50E3" w:rsidP="00DE50E3"/>
    <w:p w14:paraId="33F21473" w14:textId="77777777" w:rsidR="00DE50E3" w:rsidRPr="001D77A5" w:rsidRDefault="00DE50E3" w:rsidP="00DE50E3">
      <w:pPr>
        <w:jc w:val="center"/>
        <w:rPr>
          <w:b/>
          <w:bCs/>
        </w:rPr>
      </w:pPr>
      <w:r w:rsidRPr="001D77A5">
        <w:rPr>
          <w:b/>
          <w:bCs/>
        </w:rPr>
        <w:t>SLOVENSKÁ TECHNICKÁ UNIVERZITA</w:t>
      </w:r>
    </w:p>
    <w:p w14:paraId="69075F02" w14:textId="77777777" w:rsidR="00DE50E3" w:rsidRPr="001D77A5" w:rsidRDefault="00DE50E3" w:rsidP="00DE50E3">
      <w:pPr>
        <w:jc w:val="center"/>
        <w:rPr>
          <w:b/>
          <w:bCs/>
        </w:rPr>
      </w:pPr>
      <w:r w:rsidRPr="001D77A5">
        <w:rPr>
          <w:b/>
          <w:bCs/>
        </w:rPr>
        <w:t>Fakulta elektrotechniky a informatiky</w:t>
      </w:r>
    </w:p>
    <w:p w14:paraId="5AD4CAC2" w14:textId="6228DB6C" w:rsidR="00DE50E3" w:rsidRDefault="00DE50E3" w:rsidP="00DE50E3">
      <w:pPr>
        <w:jc w:val="center"/>
      </w:pPr>
      <w:r>
        <w:t>Zadanie č.</w:t>
      </w:r>
      <w:r>
        <w:t>2</w:t>
      </w:r>
      <w:r>
        <w:t xml:space="preserve"> z predmetu </w:t>
      </w:r>
      <w:proofErr w:type="spellStart"/>
      <w:r>
        <w:t>Biokybernetika</w:t>
      </w:r>
      <w:proofErr w:type="spellEnd"/>
    </w:p>
    <w:p w14:paraId="3073580F" w14:textId="75C0376A" w:rsidR="00DE50E3" w:rsidRPr="005A2FAF" w:rsidRDefault="00DE50E3" w:rsidP="00DE50E3">
      <w:pPr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Farmakokinetika</w:t>
      </w:r>
      <w:proofErr w:type="spellEnd"/>
      <w:r>
        <w:rPr>
          <w:b/>
          <w:bCs/>
          <w:i/>
          <w:iCs/>
        </w:rPr>
        <w:t xml:space="preserve"> a </w:t>
      </w:r>
      <w:proofErr w:type="spellStart"/>
      <w:r>
        <w:rPr>
          <w:b/>
          <w:bCs/>
          <w:i/>
          <w:iCs/>
        </w:rPr>
        <w:t>farmakodynamika</w:t>
      </w:r>
      <w:proofErr w:type="spellEnd"/>
      <w:r>
        <w:rPr>
          <w:b/>
          <w:bCs/>
          <w:i/>
          <w:iCs/>
        </w:rPr>
        <w:t xml:space="preserve"> inzulínu</w:t>
      </w:r>
    </w:p>
    <w:p w14:paraId="5405FA49" w14:textId="77777777" w:rsidR="00DE50E3" w:rsidRDefault="00DE50E3" w:rsidP="00DE50E3">
      <w:pPr>
        <w:jc w:val="center"/>
        <w:rPr>
          <w:i/>
          <w:iCs/>
        </w:rPr>
      </w:pPr>
    </w:p>
    <w:p w14:paraId="045F9D43" w14:textId="77777777" w:rsidR="00DE50E3" w:rsidRDefault="00DE50E3" w:rsidP="00DE50E3">
      <w:pPr>
        <w:jc w:val="center"/>
        <w:rPr>
          <w:i/>
          <w:iCs/>
        </w:rPr>
      </w:pPr>
    </w:p>
    <w:p w14:paraId="6320C58A" w14:textId="77777777" w:rsidR="00DE50E3" w:rsidRDefault="00DE50E3" w:rsidP="00DE50E3">
      <w:pPr>
        <w:jc w:val="center"/>
        <w:rPr>
          <w:i/>
          <w:iCs/>
        </w:rPr>
      </w:pPr>
    </w:p>
    <w:p w14:paraId="7B4733CB" w14:textId="77777777" w:rsidR="00DE50E3" w:rsidRDefault="00DE50E3" w:rsidP="00DE50E3">
      <w:pPr>
        <w:jc w:val="center"/>
        <w:rPr>
          <w:i/>
          <w:iCs/>
        </w:rPr>
      </w:pPr>
    </w:p>
    <w:p w14:paraId="759AEBD4" w14:textId="77777777" w:rsidR="00DE50E3" w:rsidRDefault="00DE50E3" w:rsidP="00DE50E3">
      <w:pPr>
        <w:jc w:val="center"/>
        <w:rPr>
          <w:i/>
          <w:iCs/>
        </w:rPr>
      </w:pPr>
    </w:p>
    <w:p w14:paraId="5356123C" w14:textId="77777777" w:rsidR="00DE50E3" w:rsidRDefault="00DE50E3" w:rsidP="00DE50E3">
      <w:pPr>
        <w:jc w:val="center"/>
        <w:rPr>
          <w:i/>
          <w:iCs/>
        </w:rPr>
      </w:pPr>
    </w:p>
    <w:p w14:paraId="28066921" w14:textId="77777777" w:rsidR="00DE50E3" w:rsidRDefault="00DE50E3" w:rsidP="00DE50E3">
      <w:pPr>
        <w:jc w:val="center"/>
        <w:rPr>
          <w:i/>
          <w:iCs/>
        </w:rPr>
      </w:pPr>
    </w:p>
    <w:p w14:paraId="18FBEEF5" w14:textId="77777777" w:rsidR="00DE50E3" w:rsidRDefault="00DE50E3" w:rsidP="00DE50E3">
      <w:pPr>
        <w:jc w:val="center"/>
        <w:rPr>
          <w:i/>
          <w:iCs/>
        </w:rPr>
      </w:pPr>
    </w:p>
    <w:p w14:paraId="140AE9EC" w14:textId="77777777" w:rsidR="00DE50E3" w:rsidRDefault="00DE50E3" w:rsidP="00DE50E3">
      <w:pPr>
        <w:jc w:val="center"/>
        <w:rPr>
          <w:i/>
          <w:iCs/>
        </w:rPr>
      </w:pPr>
    </w:p>
    <w:p w14:paraId="01BCD011" w14:textId="77777777" w:rsidR="00DE50E3" w:rsidRDefault="00DE50E3" w:rsidP="00DE50E3">
      <w:pPr>
        <w:jc w:val="center"/>
        <w:rPr>
          <w:i/>
          <w:iCs/>
        </w:rPr>
      </w:pPr>
    </w:p>
    <w:p w14:paraId="4386BAAC" w14:textId="77777777" w:rsidR="00DE50E3" w:rsidRDefault="00DE50E3" w:rsidP="00DE50E3">
      <w:pPr>
        <w:jc w:val="right"/>
      </w:pPr>
    </w:p>
    <w:p w14:paraId="22B42F8E" w14:textId="77777777" w:rsidR="00DE50E3" w:rsidRDefault="00DE50E3" w:rsidP="00DE50E3">
      <w:pPr>
        <w:jc w:val="right"/>
      </w:pPr>
      <w:r>
        <w:t>Bc. Marko Chylík</w:t>
      </w:r>
    </w:p>
    <w:p w14:paraId="7591279C" w14:textId="2D5C60A1" w:rsidR="00DE50E3" w:rsidRDefault="00DE50E3" w:rsidP="00DE50E3">
      <w:pPr>
        <w:jc w:val="right"/>
      </w:pPr>
      <w:r>
        <w:t>2</w:t>
      </w:r>
      <w:r>
        <w:t>0.10.2021</w:t>
      </w:r>
    </w:p>
    <w:p w14:paraId="44625852" w14:textId="29AD7D9A" w:rsidR="00AB2DCD" w:rsidRDefault="00DE50E3" w:rsidP="00DE50E3">
      <w:pPr>
        <w:pStyle w:val="Heading1"/>
      </w:pPr>
      <w:r>
        <w:lastRenderedPageBreak/>
        <w:t>Zadanie</w:t>
      </w:r>
    </w:p>
    <w:p w14:paraId="7FB8526F" w14:textId="0A8AD558" w:rsidR="00DE50E3" w:rsidRDefault="00DE50E3" w:rsidP="00DE50E3">
      <w:pPr>
        <w:ind w:firstLine="0"/>
        <w:jc w:val="center"/>
      </w:pPr>
      <w:r>
        <w:rPr>
          <w:noProof/>
        </w:rPr>
        <w:drawing>
          <wp:inline distT="0" distB="0" distL="0" distR="0" wp14:anchorId="4807E08F" wp14:editId="713EB93E">
            <wp:extent cx="5133975" cy="662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396F" w14:textId="7AD30E18" w:rsidR="00FD48F4" w:rsidRDefault="00FD48F4" w:rsidP="00DE50E3">
      <w:pPr>
        <w:ind w:firstLine="0"/>
        <w:jc w:val="center"/>
      </w:pPr>
    </w:p>
    <w:p w14:paraId="0DD0A675" w14:textId="188E942C" w:rsidR="00FD48F4" w:rsidRDefault="00FD48F4" w:rsidP="00DE50E3">
      <w:pPr>
        <w:ind w:firstLine="0"/>
        <w:jc w:val="center"/>
      </w:pPr>
    </w:p>
    <w:p w14:paraId="30D72245" w14:textId="484A7314" w:rsidR="00FD48F4" w:rsidRDefault="00FD48F4" w:rsidP="00DE50E3">
      <w:pPr>
        <w:ind w:firstLine="0"/>
        <w:jc w:val="center"/>
      </w:pPr>
    </w:p>
    <w:p w14:paraId="6B2DA114" w14:textId="50895BCC" w:rsidR="00FD48F4" w:rsidRDefault="00FD48F4" w:rsidP="00DE50E3">
      <w:pPr>
        <w:ind w:firstLine="0"/>
        <w:jc w:val="center"/>
      </w:pPr>
    </w:p>
    <w:p w14:paraId="409391BA" w14:textId="784A66A2" w:rsidR="00FD48F4" w:rsidRDefault="00FD48F4" w:rsidP="00DE50E3">
      <w:pPr>
        <w:ind w:firstLine="0"/>
        <w:jc w:val="center"/>
      </w:pPr>
    </w:p>
    <w:p w14:paraId="59503B6D" w14:textId="47B8244F" w:rsidR="00FD48F4" w:rsidRDefault="00FD48F4" w:rsidP="00FD48F4">
      <w:pPr>
        <w:pStyle w:val="Heading1"/>
      </w:pPr>
      <w:r>
        <w:lastRenderedPageBreak/>
        <w:t>Vypracovanie</w:t>
      </w:r>
    </w:p>
    <w:p w14:paraId="7E55B373" w14:textId="6337EE37" w:rsidR="00C80173" w:rsidRDefault="00C80173" w:rsidP="00C80173">
      <w:pPr>
        <w:pStyle w:val="Heading2"/>
      </w:pPr>
      <w:r>
        <w:t>Spracovanie dát</w:t>
      </w:r>
    </w:p>
    <w:p w14:paraId="4ECF0EE0" w14:textId="77777777" w:rsidR="00C80173" w:rsidRDefault="00C80173" w:rsidP="00C80173">
      <w:pPr>
        <w:ind w:firstLine="0"/>
      </w:pPr>
      <w:r>
        <w:t xml:space="preserve">Na začiatok potrebujeme spracovať dáta. Pre podsystém vstrebávania inzulínu budeme potrebovať dáta pre </w:t>
      </w:r>
      <w:proofErr w:type="spellStart"/>
      <w:r>
        <w:t>farmakokinetiku</w:t>
      </w:r>
      <w:proofErr w:type="spellEnd"/>
      <w:r>
        <w:t xml:space="preserve"> – </w:t>
      </w:r>
      <w:r w:rsidRPr="00C67789">
        <w:rPr>
          <w:i/>
          <w:iCs/>
        </w:rPr>
        <w:t>dat</w:t>
      </w:r>
      <w:r>
        <w:rPr>
          <w:i/>
          <w:iCs/>
        </w:rPr>
        <w:t>_F</w:t>
      </w:r>
      <w:r w:rsidRPr="00C67789">
        <w:rPr>
          <w:i/>
          <w:iCs/>
        </w:rPr>
        <w:t>K.csv</w:t>
      </w:r>
      <w:r>
        <w:t xml:space="preserve">. </w:t>
      </w:r>
    </w:p>
    <w:p w14:paraId="787A8BDA" w14:textId="1A0C7F2E" w:rsidR="00C80173" w:rsidRDefault="00C80173" w:rsidP="00C80173">
      <w:pPr>
        <w:ind w:firstLine="0"/>
      </w:pPr>
      <w:r>
        <w:t xml:space="preserve">Po preštudovaní súboru zisťujeme, že dáta sú v jednotkách </w:t>
      </w:r>
      <w:proofErr w:type="spellStart"/>
      <w:r w:rsidRPr="00C80173">
        <w:rPr>
          <w:b/>
          <w:bCs/>
        </w:rPr>
        <w:t>pmol</w:t>
      </w:r>
      <w:proofErr w:type="spellEnd"/>
      <w:r w:rsidRPr="00C80173">
        <w:rPr>
          <w:b/>
          <w:bCs/>
        </w:rPr>
        <w:t>/l</w:t>
      </w:r>
      <w:r>
        <w:t xml:space="preserve">, my však pre naše potreby budeme potrebovať </w:t>
      </w:r>
      <w:r w:rsidRPr="00505D45">
        <w:rPr>
          <w:rFonts w:cs="Times New Roman"/>
        </w:rPr>
        <w:t>µ</w:t>
      </w:r>
      <w:r w:rsidRPr="00505D45">
        <w:t>U/ml</w:t>
      </w:r>
      <w:r>
        <w:t>.</w:t>
      </w:r>
      <w:r>
        <w:t xml:space="preserve"> Platí, že </w:t>
      </w:r>
      <w:r w:rsidRPr="00505D45">
        <w:t>1</w:t>
      </w:r>
      <w:r w:rsidRPr="00505D45">
        <w:rPr>
          <w:rFonts w:cs="Times New Roman"/>
        </w:rPr>
        <w:t xml:space="preserve"> </w:t>
      </w:r>
      <w:r w:rsidRPr="00C80173">
        <w:rPr>
          <w:rFonts w:cs="Times New Roman"/>
          <w:b/>
          <w:bCs/>
        </w:rPr>
        <w:t>µ</w:t>
      </w:r>
      <w:r w:rsidRPr="00C80173">
        <w:rPr>
          <w:b/>
          <w:bCs/>
        </w:rPr>
        <w:t>U/ml</w:t>
      </w:r>
      <w:r w:rsidRPr="00505D45">
        <w:t xml:space="preserve"> = 6 </w:t>
      </w:r>
      <w:proofErr w:type="spellStart"/>
      <w:r w:rsidRPr="00C80173">
        <w:rPr>
          <w:b/>
          <w:bCs/>
        </w:rPr>
        <w:t>pmol</w:t>
      </w:r>
      <w:proofErr w:type="spellEnd"/>
      <w:r w:rsidRPr="00C80173">
        <w:rPr>
          <w:b/>
          <w:bCs/>
        </w:rPr>
        <w:t>/l</w:t>
      </w:r>
      <w:r>
        <w:t>. Preto vydelíme všetky dáta šestkou.</w:t>
      </w:r>
    </w:p>
    <w:p w14:paraId="6C77BC62" w14:textId="3561D190" w:rsidR="00C80173" w:rsidRDefault="00C80173" w:rsidP="00C80173">
      <w:pPr>
        <w:ind w:firstLine="0"/>
      </w:pPr>
      <w:r>
        <w:t xml:space="preserve">Pri neskoršej implementácii </w:t>
      </w:r>
      <w:proofErr w:type="spellStart"/>
      <w:r>
        <w:t>Bergmanovho</w:t>
      </w:r>
      <w:proofErr w:type="spellEnd"/>
      <w:r>
        <w:t xml:space="preserve"> modelu budeme potrebovať druhý </w:t>
      </w:r>
      <w:proofErr w:type="spellStart"/>
      <w:r>
        <w:t>dataset</w:t>
      </w:r>
      <w:proofErr w:type="spellEnd"/>
      <w:r>
        <w:t xml:space="preserve"> – </w:t>
      </w:r>
      <w:r>
        <w:rPr>
          <w:i/>
          <w:iCs/>
        </w:rPr>
        <w:t>dat_FD.csv</w:t>
      </w:r>
      <w:r>
        <w:t xml:space="preserve">. Podľa súboru sú tieto dáta v </w:t>
      </w:r>
      <w:r w:rsidRPr="00C80173">
        <w:rPr>
          <w:b/>
          <w:bCs/>
        </w:rPr>
        <w:t>mg/min</w:t>
      </w:r>
      <w:r>
        <w:t xml:space="preserve">, pre naše neskoršie účely potrebujeme tieto dáta v </w:t>
      </w:r>
      <w:r w:rsidRPr="00C80173">
        <w:rPr>
          <w:b/>
          <w:bCs/>
        </w:rPr>
        <w:t>mg/kg/min</w:t>
      </w:r>
      <w:r>
        <w:rPr>
          <w:b/>
          <w:bCs/>
        </w:rPr>
        <w:t>.</w:t>
      </w:r>
      <w:r>
        <w:t xml:space="preserve"> Vidíme, že pribudlo len „na kilogram“ – v tomto prípade potrebujeme predeliť dáta hmotnosťou skúmaného jedinca. V učebnom texte sa vyskytujú rôzne </w:t>
      </w:r>
      <w:proofErr w:type="spellStart"/>
      <w:r>
        <w:t>nápovedy</w:t>
      </w:r>
      <w:proofErr w:type="spellEnd"/>
      <w:r>
        <w:t xml:space="preserve"> k hmotnosti jedinca – všetky smerujú k hodnote 64,4kg a tak ňou predelíme dáta </w:t>
      </w:r>
      <w:proofErr w:type="spellStart"/>
      <w:r>
        <w:t>farmakodynamiky</w:t>
      </w:r>
      <w:proofErr w:type="spellEnd"/>
      <w:r>
        <w:t>. Spracované dáta už aj vo vyhovujúcich jednotkách vidíme na obr.1:</w:t>
      </w:r>
    </w:p>
    <w:p w14:paraId="04B1401B" w14:textId="77777777" w:rsidR="00D721A8" w:rsidRDefault="00D721A8" w:rsidP="00C80173">
      <w:pPr>
        <w:ind w:firstLine="0"/>
      </w:pPr>
    </w:p>
    <w:p w14:paraId="1880673D" w14:textId="77777777" w:rsidR="00D721A8" w:rsidRDefault="00D721A8" w:rsidP="00D721A8">
      <w:pPr>
        <w:keepNext/>
        <w:ind w:firstLine="0"/>
        <w:jc w:val="center"/>
      </w:pPr>
      <w:r w:rsidRPr="00505D45">
        <w:rPr>
          <w:noProof/>
        </w:rPr>
        <w:drawing>
          <wp:inline distT="0" distB="0" distL="0" distR="0" wp14:anchorId="5C2183B7" wp14:editId="0CC6EDCF">
            <wp:extent cx="4610100" cy="3724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CA2C" w14:textId="2EC3DC23" w:rsidR="00C80173" w:rsidRDefault="00D721A8" w:rsidP="00EA4EA9">
      <w:pPr>
        <w:pStyle w:val="Caption"/>
      </w:pPr>
      <w:r>
        <w:t xml:space="preserve">Obrázok </w:t>
      </w:r>
      <w:fldSimple w:instr=" SEQ Obrázok \* ARABIC ">
        <w:r w:rsidR="00E34265">
          <w:rPr>
            <w:noProof/>
          </w:rPr>
          <w:t>1</w:t>
        </w:r>
      </w:fldSimple>
      <w:r>
        <w:t>: Spracované dáta z </w:t>
      </w:r>
      <w:proofErr w:type="spellStart"/>
      <w:r>
        <w:t>datasetov</w:t>
      </w:r>
      <w:proofErr w:type="spellEnd"/>
    </w:p>
    <w:p w14:paraId="4BC04CD8" w14:textId="7F129695" w:rsidR="00D721A8" w:rsidRDefault="00D721A8" w:rsidP="00D721A8"/>
    <w:p w14:paraId="617634FE" w14:textId="0EDBE20C" w:rsidR="00D721A8" w:rsidRDefault="00D721A8" w:rsidP="00D721A8"/>
    <w:p w14:paraId="2A5818A5" w14:textId="1D207F7E" w:rsidR="00FD48F4" w:rsidRDefault="00FD48F4" w:rsidP="00FD48F4">
      <w:pPr>
        <w:pStyle w:val="Heading2"/>
      </w:pPr>
      <w:r>
        <w:lastRenderedPageBreak/>
        <w:t>Podsystém vstrebávania inzulínu</w:t>
      </w:r>
    </w:p>
    <w:p w14:paraId="5A0CFE5C" w14:textId="7C95C779" w:rsidR="00C80173" w:rsidRDefault="0061185C">
      <w:pPr>
        <w:ind w:firstLine="0"/>
      </w:pPr>
      <w:r>
        <w:t>Podsystém je tvorený tromi diferenciálnymi rovnicami: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1D251573" w14:textId="77777777" w:rsidTr="008C1171">
        <w:tc>
          <w:tcPr>
            <w:tcW w:w="851" w:type="dxa"/>
            <w:vAlign w:val="center"/>
          </w:tcPr>
          <w:p w14:paraId="4E55D671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72A4F30E" w14:textId="77777777" w:rsidR="0061185C" w:rsidRPr="00505D45" w:rsidRDefault="0061185C" w:rsidP="0061185C">
            <w:pPr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+v(t)</m:t>
                </m:r>
              </m:oMath>
            </m:oMathPara>
          </w:p>
          <w:p w14:paraId="448FF013" w14:textId="77777777" w:rsidR="0061185C" w:rsidRPr="00505D45" w:rsidRDefault="0061185C" w:rsidP="0061185C">
            <w:pPr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4E109E7E" w14:textId="05065D7D" w:rsidR="0061185C" w:rsidRPr="0061185C" w:rsidRDefault="0061185C" w:rsidP="0061185C">
            <w:pPr>
              <w:ind w:left="36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08" w:type="dxa"/>
            <w:vAlign w:val="center"/>
          </w:tcPr>
          <w:p w14:paraId="6E9D21C3" w14:textId="77777777" w:rsidR="0061185C" w:rsidRDefault="0061185C" w:rsidP="008C1171">
            <w:pPr>
              <w:ind w:firstLine="0"/>
              <w:jc w:val="center"/>
            </w:pPr>
            <w:r>
              <w:t>(1)</w:t>
            </w:r>
          </w:p>
        </w:tc>
      </w:tr>
    </w:tbl>
    <w:p w14:paraId="40B723CF" w14:textId="46EA5D23" w:rsidR="006B35DC" w:rsidRDefault="006B35DC">
      <w:pPr>
        <w:ind w:firstLine="0"/>
      </w:pPr>
      <w:r>
        <w:t xml:space="preserve">pričom vstupom do systému je signál v(t) – rýchlosť podávania inzulínu a výstupom je inzulín v krvi I(t). Z týchto rovníc vieme určiť viacero parametrov podľa zadania, či dopočítaním alebo neskoršou identifikáciou. Začneme s opisom vplyvu a významu parametrov/signálov. </w:t>
      </w:r>
      <w:r w:rsidRPr="006B35DC">
        <w:t>S</w:t>
      </w:r>
      <w:r w:rsidRPr="006B35DC">
        <w:rPr>
          <w:vertAlign w:val="subscript"/>
        </w:rPr>
        <w:t>1</w:t>
      </w:r>
      <w:r w:rsidRPr="006B35DC">
        <w:t>(t)</w:t>
      </w:r>
      <w:r>
        <w:t xml:space="preserve"> a</w:t>
      </w:r>
      <w:r w:rsidRPr="006B35DC">
        <w:t xml:space="preserve"> S</w:t>
      </w:r>
      <w:r w:rsidRPr="006B35DC">
        <w:rPr>
          <w:vertAlign w:val="subscript"/>
        </w:rPr>
        <w:t>2</w:t>
      </w:r>
      <w:r w:rsidRPr="006B35DC">
        <w:t>(t) [</w:t>
      </w:r>
      <w:r w:rsidRPr="006B35DC">
        <w:rPr>
          <w:rFonts w:cs="Times New Roman"/>
        </w:rPr>
        <w:t>µ</w:t>
      </w:r>
      <w:r w:rsidRPr="006B35DC">
        <w:t xml:space="preserve">U/kg] </w:t>
      </w:r>
      <w:r>
        <w:t>je</w:t>
      </w:r>
      <w:r w:rsidRPr="006B35DC">
        <w:t xml:space="preserve"> množstvo inzulínu v jednotlivých </w:t>
      </w:r>
      <w:proofErr w:type="spellStart"/>
      <w:r w:rsidRPr="006B35DC">
        <w:t>kompartmentoch</w:t>
      </w:r>
      <w:proofErr w:type="spellEnd"/>
      <w:r>
        <w:t>. v(t)</w:t>
      </w:r>
      <w:r w:rsidRPr="006B35DC">
        <w:t xml:space="preserve"> </w:t>
      </w:r>
      <w:r w:rsidRPr="00505D45">
        <w:t>[</w:t>
      </w:r>
      <w:r w:rsidRPr="00505D45">
        <w:rPr>
          <w:rFonts w:cs="Times New Roman"/>
        </w:rPr>
        <w:t>µ</w:t>
      </w:r>
      <w:r w:rsidRPr="00505D45">
        <w:t xml:space="preserve">U/kg/min] </w:t>
      </w:r>
      <w:r>
        <w:t>prislúcha už spomínanej</w:t>
      </w:r>
      <w:r w:rsidRPr="00505D45">
        <w:t xml:space="preserve"> rýchlos</w:t>
      </w:r>
      <w:r>
        <w:t>ti</w:t>
      </w:r>
      <w:r w:rsidRPr="00505D45">
        <w:t xml:space="preserve"> podávania inzulínu</w:t>
      </w:r>
      <w:r>
        <w:t xml:space="preserve">. </w:t>
      </w:r>
      <w:r w:rsidRPr="00975525">
        <w:rPr>
          <w:b/>
          <w:bCs/>
        </w:rPr>
        <w:t>T</w:t>
      </w:r>
      <w:r w:rsidRPr="00975525">
        <w:rPr>
          <w:b/>
          <w:bCs/>
          <w:vertAlign w:val="subscript"/>
        </w:rPr>
        <w:t>I</w:t>
      </w:r>
      <w:r w:rsidRPr="00505D45">
        <w:t xml:space="preserve"> [min] </w:t>
      </w:r>
      <w:r>
        <w:t>je</w:t>
      </w:r>
      <w:r w:rsidRPr="00505D45">
        <w:t xml:space="preserve"> časová konštanta podsystému</w:t>
      </w:r>
      <w:r>
        <w:t xml:space="preserve">, </w:t>
      </w:r>
      <w:proofErr w:type="spellStart"/>
      <w:r w:rsidRPr="00975525">
        <w:rPr>
          <w:b/>
          <w:bCs/>
        </w:rPr>
        <w:t>k</w:t>
      </w:r>
      <w:r w:rsidRPr="00975525">
        <w:rPr>
          <w:b/>
          <w:bCs/>
          <w:vertAlign w:val="subscript"/>
        </w:rPr>
        <w:t>I</w:t>
      </w:r>
      <w:proofErr w:type="spellEnd"/>
      <w:r>
        <w:t xml:space="preserve"> je rýchlosť samovoľného ubúdania inzulínu v krvnej plazme (</w:t>
      </w:r>
      <w:r w:rsidRPr="00505D45">
        <w:t>[1/min]</w:t>
      </w:r>
      <w:r>
        <w:t xml:space="preserve">) a </w:t>
      </w:r>
      <w:r w:rsidRPr="00975525">
        <w:rPr>
          <w:b/>
          <w:bCs/>
        </w:rPr>
        <w:t>V</w:t>
      </w:r>
      <w:r w:rsidRPr="00975525">
        <w:rPr>
          <w:b/>
          <w:bCs/>
          <w:vertAlign w:val="subscript"/>
        </w:rPr>
        <w:t>I</w:t>
      </w:r>
      <w:r w:rsidRPr="006B35DC">
        <w:t xml:space="preserve"> [ml/kg] </w:t>
      </w:r>
      <w:r>
        <w:t>je</w:t>
      </w:r>
      <w:r w:rsidRPr="006B35DC">
        <w:t xml:space="preserve"> objem na kilogram hmotnosti do ktorého sa inzulín </w:t>
      </w:r>
      <w:proofErr w:type="spellStart"/>
      <w:r w:rsidRPr="006B35DC">
        <w:t>distribuje</w:t>
      </w:r>
      <w:proofErr w:type="spellEnd"/>
      <w:r>
        <w:t>. Výstupom je už spomínaný inzulín v krvi v jednotke</w:t>
      </w:r>
      <w:r w:rsidRPr="006B35DC">
        <w:rPr>
          <w:rFonts w:cs="Times New Roman"/>
        </w:rPr>
        <w:t xml:space="preserve"> </w:t>
      </w:r>
      <w:r w:rsidRPr="00505D45">
        <w:rPr>
          <w:rFonts w:cs="Times New Roman"/>
        </w:rPr>
        <w:t>µ</w:t>
      </w:r>
      <w:r w:rsidRPr="00505D45">
        <w:t>U/ml</w:t>
      </w:r>
      <w:r>
        <w:t xml:space="preserve">. Vstup vieme definovať ako súčet bazálneho vstupu (ktorý je konštantný počas celej simulácie) a takzvaného bolusu, ktorý pôsobí len prvých 5 minút (nárazové podanie inzulínu). </w:t>
      </w:r>
      <w:proofErr w:type="spellStart"/>
      <w:r w:rsidRPr="00505D45">
        <w:rPr>
          <w:iCs/>
        </w:rPr>
        <w:t>v</w:t>
      </w:r>
      <w:r w:rsidRPr="00505D45">
        <w:rPr>
          <w:iCs/>
          <w:vertAlign w:val="subscript"/>
        </w:rPr>
        <w:t>B</w:t>
      </w:r>
      <w:proofErr w:type="spellEnd"/>
      <w:r>
        <w:rPr>
          <w:iCs/>
          <w:vertAlign w:val="subscript"/>
        </w:rPr>
        <w:t xml:space="preserve"> </w:t>
      </w:r>
      <w:r>
        <w:rPr>
          <w:iCs/>
        </w:rPr>
        <w:t>= 40000 ,</w:t>
      </w:r>
      <w:r w:rsidRPr="006B35DC">
        <w:rPr>
          <w:iCs/>
        </w:rPr>
        <w:t xml:space="preserve"> </w:t>
      </w:r>
      <w:r>
        <w:rPr>
          <w:iCs/>
        </w:rPr>
        <w:t xml:space="preserve"> </w:t>
      </w:r>
      <w:proofErr w:type="spellStart"/>
      <w:r w:rsidRPr="00505D45">
        <w:rPr>
          <w:iCs/>
        </w:rPr>
        <w:t>v</w:t>
      </w:r>
      <w:r w:rsidRPr="00505D45">
        <w:rPr>
          <w:iCs/>
          <w:vertAlign w:val="subscript"/>
        </w:rPr>
        <w:t>b</w:t>
      </w:r>
      <w:proofErr w:type="spellEnd"/>
      <w:r>
        <w:rPr>
          <w:iCs/>
        </w:rPr>
        <w:t xml:space="preserve"> = </w:t>
      </w:r>
      <w:r w:rsidRPr="00505D45">
        <w:rPr>
          <w:iCs/>
        </w:rPr>
        <w:t>281.218</w:t>
      </w:r>
      <w:r>
        <w:rPr>
          <w:iCs/>
        </w:rPr>
        <w:t xml:space="preserve"> (oboje </w:t>
      </w:r>
      <w:r w:rsidRPr="00505D45">
        <w:rPr>
          <w:rFonts w:cs="Times New Roman"/>
          <w:iCs/>
        </w:rPr>
        <w:t>µ</w:t>
      </w:r>
      <w:r w:rsidRPr="00505D45">
        <w:rPr>
          <w:iCs/>
        </w:rPr>
        <w:t>U/kg/min</w:t>
      </w:r>
      <w:r>
        <w:rPr>
          <w:iCs/>
        </w:rPr>
        <w:t>):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01BBCBD3" w14:textId="77777777" w:rsidTr="008C1171">
        <w:tc>
          <w:tcPr>
            <w:tcW w:w="851" w:type="dxa"/>
            <w:vAlign w:val="center"/>
          </w:tcPr>
          <w:p w14:paraId="600C9F02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5F3CF268" w14:textId="0E063C5D" w:rsidR="0061185C" w:rsidRPr="006B35DC" w:rsidRDefault="006B35DC" w:rsidP="006B35DC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v(t)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(t)+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08" w:type="dxa"/>
            <w:vAlign w:val="center"/>
          </w:tcPr>
          <w:p w14:paraId="402C6216" w14:textId="53902D4A" w:rsidR="0061185C" w:rsidRDefault="0061185C" w:rsidP="008C1171">
            <w:pPr>
              <w:ind w:firstLine="0"/>
              <w:jc w:val="center"/>
            </w:pPr>
            <w:r>
              <w:t>(</w:t>
            </w:r>
            <w:r w:rsidR="006B35DC">
              <w:t>2</w:t>
            </w:r>
            <w:r>
              <w:t>)</w:t>
            </w:r>
          </w:p>
        </w:tc>
      </w:tr>
    </w:tbl>
    <w:p w14:paraId="3FF9750F" w14:textId="05812045" w:rsidR="0061185C" w:rsidRDefault="009F5A73">
      <w:pPr>
        <w:ind w:firstLine="0"/>
      </w:pPr>
      <w:r>
        <w:t xml:space="preserve">Následne teda pomocou rovníc 1 vytvoríme simulačný model. </w:t>
      </w:r>
      <w:r w:rsidR="00975525">
        <w:t xml:space="preserve">Parametre v texte vyššie, ktoré sú označené </w:t>
      </w:r>
      <w:r w:rsidR="00975525" w:rsidRPr="00975525">
        <w:rPr>
          <w:b/>
          <w:bCs/>
        </w:rPr>
        <w:t>tučným</w:t>
      </w:r>
      <w:r w:rsidR="00975525">
        <w:t xml:space="preserve"> písmom budú neskôr podliehať identifikácii. Na overenie správnosti však ako hodnoty týchto parametrov použijeme najprv hodnoty z učebného textu: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2A2B1B03" w14:textId="77777777" w:rsidTr="008C1171">
        <w:tc>
          <w:tcPr>
            <w:tcW w:w="851" w:type="dxa"/>
            <w:vAlign w:val="center"/>
          </w:tcPr>
          <w:p w14:paraId="34F79A35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101160AB" w14:textId="77777777" w:rsidR="0061185C" w:rsidRPr="00975525" w:rsidRDefault="00975525" w:rsidP="008C117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=44,55min</m:t>
                </m:r>
              </m:oMath>
            </m:oMathPara>
          </w:p>
          <w:p w14:paraId="7929CAB8" w14:textId="77777777" w:rsidR="00975525" w:rsidRPr="00975525" w:rsidRDefault="00975525" w:rsidP="008C1171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=0,1645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19E3B1EE" w14:textId="1B6820AD" w:rsidR="00975525" w:rsidRPr="00975525" w:rsidRDefault="00975525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=138,8dl/kg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F2DC6A9" w14:textId="6748CDC9" w:rsidR="0061185C" w:rsidRDefault="0061185C" w:rsidP="008C1171">
            <w:pPr>
              <w:ind w:firstLine="0"/>
              <w:jc w:val="center"/>
            </w:pPr>
            <w:r>
              <w:t>(</w:t>
            </w:r>
            <w:r w:rsidR="00975525">
              <w:t>3</w:t>
            </w:r>
            <w:r>
              <w:t>)</w:t>
            </w:r>
          </w:p>
        </w:tc>
      </w:tr>
    </w:tbl>
    <w:p w14:paraId="03CB9AA0" w14:textId="4C75D6F5" w:rsidR="0061185C" w:rsidRPr="00980123" w:rsidRDefault="00980123">
      <w:pPr>
        <w:ind w:firstLine="0"/>
      </w:pPr>
      <w:r>
        <w:t xml:space="preserve">Na začiatku kapitoly sme spomínali, že niektoré hodnoty budeme dopočítavať. Sú to bazálne hodnoty pre </w:t>
      </w:r>
      <w:r w:rsidRPr="00505D45">
        <w:rPr>
          <w:i/>
          <w:iCs/>
        </w:rPr>
        <w:t>S</w:t>
      </w:r>
      <w:r w:rsidRPr="00505D45">
        <w:rPr>
          <w:i/>
          <w:iCs/>
          <w:vertAlign w:val="subscript"/>
        </w:rPr>
        <w:t>1</w:t>
      </w:r>
      <w:r w:rsidRPr="00505D45">
        <w:t xml:space="preserve">, </w:t>
      </w:r>
      <w:r w:rsidRPr="00505D45">
        <w:rPr>
          <w:i/>
          <w:iCs/>
        </w:rPr>
        <w:t>S</w:t>
      </w:r>
      <w:r w:rsidRPr="00505D45">
        <w:rPr>
          <w:i/>
          <w:iCs/>
          <w:vertAlign w:val="subscript"/>
        </w:rPr>
        <w:t>2</w:t>
      </w:r>
      <w:r w:rsidRPr="00505D45">
        <w:t xml:space="preserve"> a</w:t>
      </w:r>
      <w:r>
        <w:t> </w:t>
      </w:r>
      <w:r w:rsidRPr="00505D45">
        <w:rPr>
          <w:i/>
          <w:iCs/>
        </w:rPr>
        <w:t>I</w:t>
      </w:r>
      <w:r>
        <w:t>. Bazálne sa v tomto prípade rovnajú ustáleným. Keď hovoríme ustálené, znamená to, že ich derivácie v čase budú nulové. Riešime teda nasledujúcu sústavu rovníc: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4B8A8B01" w14:textId="77777777" w:rsidTr="008C1171">
        <w:tc>
          <w:tcPr>
            <w:tcW w:w="851" w:type="dxa"/>
            <w:vAlign w:val="center"/>
          </w:tcPr>
          <w:p w14:paraId="74DC52B3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C7A893E" w14:textId="09ECEE46" w:rsidR="00980123" w:rsidRPr="00505D45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w:rPr>
                    <w:rFonts w:ascii="Cambria Math" w:hAnsi="Cambria Math"/>
                  </w:rPr>
                  <m:t>+v(t)</m:t>
                </m:r>
              </m:oMath>
            </m:oMathPara>
          </w:p>
          <w:p w14:paraId="7413DE65" w14:textId="617DA8B4" w:rsidR="00980123" w:rsidRPr="00505D45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435D9A88" w14:textId="2CBDE0DA" w:rsidR="0061185C" w:rsidRPr="00980123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08" w:type="dxa"/>
            <w:vAlign w:val="center"/>
          </w:tcPr>
          <w:p w14:paraId="78FE36D5" w14:textId="53DB9D59" w:rsidR="0061185C" w:rsidRDefault="0061185C" w:rsidP="008C1171">
            <w:pPr>
              <w:ind w:firstLine="0"/>
              <w:jc w:val="center"/>
            </w:pPr>
            <w:r>
              <w:t>(</w:t>
            </w:r>
            <w:r w:rsidR="00980123">
              <w:t>4</w:t>
            </w:r>
            <w:r>
              <w:t>)</w:t>
            </w:r>
          </w:p>
        </w:tc>
      </w:tr>
    </w:tbl>
    <w:p w14:paraId="771828A6" w14:textId="554C1AF6" w:rsidR="0061185C" w:rsidRPr="00B47BF2" w:rsidRDefault="00980123">
      <w:pPr>
        <w:ind w:firstLine="0"/>
        <w:rPr>
          <w:lang w:val="en-US"/>
        </w:rPr>
      </w:pPr>
      <w:r>
        <w:t xml:space="preserve">Z prvej rovnice jednoducho získame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1B</m:t>
            </m:r>
          </m:sub>
        </m:sSub>
      </m:oMath>
      <w:r>
        <w:rPr>
          <w:rFonts w:eastAsiaTheme="minorEastAsia"/>
        </w:rPr>
        <w:t xml:space="preserve"> – ostatné členy vo vzťahu totiž poznáme. Z druhého vzťahu vyplýva,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1B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musia byť rovné. Obdobným spôsobom dorátame </w:t>
      </w:r>
      <w:r w:rsidR="00B47BF2">
        <w:rPr>
          <w:rFonts w:eastAsiaTheme="minorEastAsia"/>
        </w:rPr>
        <w:t>aj tretiu rovnicu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05E3508C" w14:textId="77777777" w:rsidTr="008C1171">
        <w:tc>
          <w:tcPr>
            <w:tcW w:w="851" w:type="dxa"/>
            <w:vAlign w:val="center"/>
          </w:tcPr>
          <w:p w14:paraId="08641B26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06539797" w14:textId="77777777" w:rsidR="0061185C" w:rsidRPr="00B47BF2" w:rsidRDefault="00B47BF2" w:rsidP="008C1171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=1,2528*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U/kg/min</m:t>
                </m:r>
              </m:oMath>
            </m:oMathPara>
          </w:p>
          <w:p w14:paraId="037230C3" w14:textId="139CE2E1" w:rsidR="00B47BF2" w:rsidRPr="00420CC5" w:rsidRDefault="00B47BF2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=12,3165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U/ml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EC565E8" w14:textId="37794E08" w:rsidR="0061185C" w:rsidRDefault="0061185C" w:rsidP="008C1171">
            <w:pPr>
              <w:ind w:firstLine="0"/>
              <w:jc w:val="center"/>
            </w:pPr>
            <w:r>
              <w:t>(</w:t>
            </w:r>
            <w:r w:rsidR="00B47BF2">
              <w:t>5</w:t>
            </w:r>
            <w:r>
              <w:t>)</w:t>
            </w:r>
          </w:p>
        </w:tc>
      </w:tr>
    </w:tbl>
    <w:p w14:paraId="2D7FE6D3" w14:textId="62163807" w:rsidR="006A79EA" w:rsidRDefault="006A79EA" w:rsidP="006A79EA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C37D7" wp14:editId="187881BF">
            <wp:simplePos x="0" y="0"/>
            <wp:positionH relativeFrom="margin">
              <wp:posOffset>-15240</wp:posOffset>
            </wp:positionH>
            <wp:positionV relativeFrom="margin">
              <wp:posOffset>3930015</wp:posOffset>
            </wp:positionV>
            <wp:extent cx="5457825" cy="4762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Týmto výpočtom sme zistili všetky potrebné hodnoty pre simuláciu. Zostavíme model:</w:t>
      </w:r>
    </w:p>
    <w:p w14:paraId="47E8C8AF" w14:textId="74AB5D02" w:rsidR="006A79EA" w:rsidRDefault="006A79EA" w:rsidP="00EA4EA9">
      <w:pPr>
        <w:pStyle w:val="Caption"/>
      </w:pPr>
      <w:r>
        <w:t xml:space="preserve">Obrázok </w:t>
      </w:r>
      <w:fldSimple w:instr=" SEQ Obrázok \* ARABIC ">
        <w:r w:rsidR="00E34265">
          <w:rPr>
            <w:noProof/>
          </w:rPr>
          <w:t>2</w:t>
        </w:r>
      </w:fldSimple>
      <w:r>
        <w:t>: Podsystém vstrebávania inzulínu</w:t>
      </w:r>
    </w:p>
    <w:p w14:paraId="6E30753D" w14:textId="77777777" w:rsidR="00EA4EA9" w:rsidRDefault="00EA4EA9" w:rsidP="00EA4EA9">
      <w:pPr>
        <w:keepNext/>
        <w:ind w:firstLine="0"/>
      </w:pPr>
      <w:r>
        <w:lastRenderedPageBreak/>
        <w:t xml:space="preserve">Model môžeme následne rovno aj odsimulovať a jeho výsledky porovnať s dátami </w:t>
      </w:r>
      <w:proofErr w:type="spellStart"/>
      <w:r>
        <w:t>farmakokinematiky</w:t>
      </w:r>
      <w:proofErr w:type="spellEnd"/>
      <w:r>
        <w:t>:</w:t>
      </w:r>
      <w:r>
        <w:rPr>
          <w:noProof/>
        </w:rPr>
        <w:drawing>
          <wp:inline distT="0" distB="0" distL="0" distR="0" wp14:anchorId="0CF934F4" wp14:editId="42B27D5B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D6AD" w14:textId="549B9864" w:rsidR="006A79EA" w:rsidRDefault="00EA4EA9" w:rsidP="00EA4EA9">
      <w:pPr>
        <w:pStyle w:val="Caption"/>
      </w:pPr>
      <w:r>
        <w:t xml:space="preserve">Obrázok </w:t>
      </w:r>
      <w:fldSimple w:instr=" SEQ Obrázok \* ARABIC ">
        <w:r w:rsidR="00E34265">
          <w:rPr>
            <w:noProof/>
          </w:rPr>
          <w:t>3</w:t>
        </w:r>
      </w:fldSimple>
      <w:r>
        <w:t>: Výsledok simulácie</w:t>
      </w:r>
    </w:p>
    <w:p w14:paraId="3031DBD4" w14:textId="0B96347F" w:rsidR="00EA4EA9" w:rsidRDefault="00EA4EA9" w:rsidP="00EA4EA9">
      <w:pPr>
        <w:ind w:firstLine="0"/>
      </w:pPr>
      <w:r>
        <w:t xml:space="preserve">Na y osi vidíme dve mierky. Ľavá prislúcha nameraným bodom FK a modelu prerušovanou modrou čiarou. Na pravej y osi vidíme priebeh vstupu do systému, ktorý sme spomínali na pri vzťahu 2. Podľa obrázku 3 sa nám podarilo zreplikovať výsledky z učebných materiálov. Preto sa presunieme k identifikácii parametrov. </w:t>
      </w:r>
    </w:p>
    <w:p w14:paraId="1C68AD40" w14:textId="29B42775" w:rsidR="00EA4EA9" w:rsidRDefault="00EA4EA9" w:rsidP="00EA4EA9">
      <w:pPr>
        <w:pStyle w:val="Heading2"/>
      </w:pPr>
      <w:r>
        <w:t>Identifikácia parametrov</w:t>
      </w:r>
    </w:p>
    <w:p w14:paraId="7F5A840C" w14:textId="779F33F8" w:rsidR="00EA4EA9" w:rsidRPr="00EA4EA9" w:rsidRDefault="00EA4EA9" w:rsidP="00EA4EA9">
      <w:pPr>
        <w:ind w:firstLine="0"/>
      </w:pPr>
      <w:r>
        <w:t xml:space="preserve">Použijeme genetický algoritmus. </w:t>
      </w:r>
      <w:r w:rsidR="006D1014">
        <w:t>Ako fitness funkciu si zvolíme funkciu ktorá je odporúčaná aj v učebnom materiáli: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D1014" w14:paraId="3B1518A8" w14:textId="77777777" w:rsidTr="008C1171">
        <w:tc>
          <w:tcPr>
            <w:tcW w:w="851" w:type="dxa"/>
            <w:vAlign w:val="center"/>
          </w:tcPr>
          <w:p w14:paraId="6787BF7E" w14:textId="77777777" w:rsidR="006D1014" w:rsidRDefault="006D1014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5DCA38FC" w14:textId="3BE94550" w:rsidR="006D1014" w:rsidRPr="00420CC5" w:rsidRDefault="000A77D9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fit=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0,000 5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31F9112F" w14:textId="7BF099C2" w:rsidR="006D1014" w:rsidRDefault="006D1014" w:rsidP="008C1171">
            <w:pPr>
              <w:ind w:firstLine="0"/>
              <w:jc w:val="center"/>
            </w:pPr>
            <w:r>
              <w:t>(</w:t>
            </w:r>
            <w:r>
              <w:t>6</w:t>
            </w:r>
            <w:r>
              <w:t>)</w:t>
            </w:r>
          </w:p>
        </w:tc>
      </w:tr>
    </w:tbl>
    <w:p w14:paraId="3713B2A8" w14:textId="125EFC84" w:rsidR="006A79EA" w:rsidRDefault="000A77D9" w:rsidP="006A79EA">
      <w:pPr>
        <w:rPr>
          <w:rFonts w:eastAsiaTheme="minorEastAsia"/>
          <w:lang w:val="en-US"/>
        </w:rPr>
      </w:pPr>
      <w:r>
        <w:t xml:space="preserve">pričom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označujeme signál vytvorený interpolovaním nameraných hodnôt </w:t>
      </w:r>
      <w:proofErr w:type="spellStart"/>
      <w:r>
        <w:rPr>
          <w:rFonts w:eastAsiaTheme="minorEastAsia"/>
        </w:rPr>
        <w:t>farmakokinematiky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=100 </m:t>
        </m:r>
        <m:r>
          <w:rPr>
            <w:rFonts w:ascii="Cambria Math" w:eastAsiaTheme="minorEastAsia" w:hAnsi="Cambria Math"/>
            <w:lang w:val="en-US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kg</m:t>
            </m:r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>.</w:t>
      </w:r>
    </w:p>
    <w:p w14:paraId="610A1238" w14:textId="5A69C602" w:rsidR="00C973FD" w:rsidRDefault="00C973FD" w:rsidP="006A79EA">
      <w:pPr>
        <w:rPr>
          <w:rFonts w:eastAsiaTheme="minorEastAsia"/>
          <w:lang w:val="en-US"/>
        </w:rPr>
      </w:pPr>
    </w:p>
    <w:p w14:paraId="688C3C9B" w14:textId="77777777" w:rsidR="00A975DE" w:rsidRDefault="00A975DE" w:rsidP="00A975DE">
      <w:pPr>
        <w:keepNext/>
        <w:ind w:firstLine="0"/>
        <w:jc w:val="center"/>
      </w:pPr>
      <w:r>
        <w:rPr>
          <w:i/>
          <w:noProof/>
        </w:rPr>
        <w:lastRenderedPageBreak/>
        <w:drawing>
          <wp:inline distT="0" distB="0" distL="0" distR="0" wp14:anchorId="124A49ED" wp14:editId="4D6857D3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2880" w14:textId="69F4DB49" w:rsidR="00C973FD" w:rsidRDefault="00A975DE" w:rsidP="00A975DE">
      <w:pPr>
        <w:pStyle w:val="Caption"/>
      </w:pPr>
      <w:r>
        <w:t xml:space="preserve">Obrázok </w:t>
      </w:r>
      <w:fldSimple w:instr=" SEQ Obrázok \* ARABIC ">
        <w:r w:rsidR="00E34265">
          <w:rPr>
            <w:noProof/>
          </w:rPr>
          <w:t>4</w:t>
        </w:r>
      </w:fldSimple>
      <w:r>
        <w:t>: Model koncentrácie inzulínu s identifikovanými parametrami</w:t>
      </w:r>
    </w:p>
    <w:p w14:paraId="229D2B85" w14:textId="77777777" w:rsidR="00A975DE" w:rsidRPr="00A975DE" w:rsidRDefault="00A975DE" w:rsidP="00A975DE">
      <w:pPr>
        <w:ind w:firstLine="0"/>
      </w:pPr>
    </w:p>
    <w:p w14:paraId="31D4C2EE" w14:textId="7E4C0320" w:rsidR="006A79EA" w:rsidRDefault="00A975DE" w:rsidP="00A975DE">
      <w:pPr>
        <w:ind w:firstLine="0"/>
      </w:pPr>
      <w:r>
        <w:t xml:space="preserve">//tu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fitka</w:t>
      </w:r>
      <w:proofErr w:type="spellEnd"/>
      <w:r w:rsidR="008203B1">
        <w:t xml:space="preserve"> + parametre</w:t>
      </w:r>
    </w:p>
    <w:p w14:paraId="4520D2F1" w14:textId="17494C2F" w:rsidR="00E92441" w:rsidRDefault="00E92441" w:rsidP="00A975DE">
      <w:pPr>
        <w:ind w:firstLine="0"/>
      </w:pPr>
    </w:p>
    <w:p w14:paraId="71FC5860" w14:textId="0EA93BDA" w:rsidR="00E92441" w:rsidRDefault="00E92441" w:rsidP="00E92441">
      <w:pPr>
        <w:pStyle w:val="Heading2"/>
      </w:pPr>
      <w:proofErr w:type="spellStart"/>
      <w:r>
        <w:t>Bergmannov</w:t>
      </w:r>
      <w:proofErr w:type="spellEnd"/>
      <w:r>
        <w:t xml:space="preserve"> minimálny model</w:t>
      </w:r>
    </w:p>
    <w:p w14:paraId="0D69C44F" w14:textId="02BEAF4D" w:rsidR="009D3C67" w:rsidRDefault="009D3C67" w:rsidP="009D3C67">
      <w:pPr>
        <w:ind w:firstLine="0"/>
      </w:pPr>
      <w:proofErr w:type="spellStart"/>
      <w:r>
        <w:t>Bergmannovmu</w:t>
      </w:r>
      <w:proofErr w:type="spellEnd"/>
      <w:r>
        <w:t xml:space="preserve"> modelu sme sa venovali už aj na minulom zadaní. Teraz však nahradíme vstupný inzulín podsystémom vstrebávania inzulínu z prvej časti tohto zadania.</w:t>
      </w:r>
      <w:r w:rsidR="009071F2">
        <w:t xml:space="preserve"> </w:t>
      </w:r>
      <w:proofErr w:type="spellStart"/>
      <w:r w:rsidR="009071F2">
        <w:t>Bergmannov</w:t>
      </w:r>
      <w:proofErr w:type="spellEnd"/>
      <w:r w:rsidR="009071F2">
        <w:t xml:space="preserve"> model tak budú tvoriť tieto dve </w:t>
      </w:r>
      <w:proofErr w:type="spellStart"/>
      <w:r w:rsidR="009071F2">
        <w:t>dif</w:t>
      </w:r>
      <w:proofErr w:type="spellEnd"/>
      <w:r w:rsidR="009071F2">
        <w:t>. rovnice: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9071F2" w:rsidRPr="009071F2" w14:paraId="3C943BDF" w14:textId="77777777" w:rsidTr="008C1171">
        <w:tc>
          <w:tcPr>
            <w:tcW w:w="851" w:type="dxa"/>
            <w:vAlign w:val="center"/>
          </w:tcPr>
          <w:p w14:paraId="69280493" w14:textId="77777777" w:rsidR="009071F2" w:rsidRPr="009071F2" w:rsidRDefault="009071F2" w:rsidP="008C117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555ECD37" w14:textId="77777777" w:rsidR="009071F2" w:rsidRPr="009071F2" w:rsidRDefault="009071F2" w:rsidP="009071F2">
            <w:pPr>
              <w:rPr>
                <w:rFonts w:eastAsiaTheme="minorEastAsia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</m:oMath>
            </m:oMathPara>
          </w:p>
          <w:p w14:paraId="3F445DEF" w14:textId="4276DE50" w:rsidR="009071F2" w:rsidRPr="009071F2" w:rsidRDefault="009071F2" w:rsidP="009071F2">
            <w:pPr>
              <w:ind w:left="360"/>
              <w:rPr>
                <w:rFonts w:eastAsiaTheme="minorEastAsia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</w:rPr>
                  <m:t>Ra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08" w:type="dxa"/>
            <w:vAlign w:val="center"/>
          </w:tcPr>
          <w:p w14:paraId="3CD46E32" w14:textId="5D0B6F1E" w:rsidR="009071F2" w:rsidRPr="009071F2" w:rsidRDefault="009071F2" w:rsidP="008C1171">
            <w:pPr>
              <w:ind w:firstLine="0"/>
              <w:jc w:val="center"/>
              <w:rPr>
                <w:szCs w:val="24"/>
              </w:rPr>
            </w:pPr>
            <w:r w:rsidRPr="009071F2">
              <w:rPr>
                <w:szCs w:val="24"/>
              </w:rPr>
              <w:t>(</w:t>
            </w:r>
            <w:r w:rsidRPr="009071F2">
              <w:rPr>
                <w:szCs w:val="24"/>
              </w:rPr>
              <w:t>7</w:t>
            </w:r>
            <w:r w:rsidRPr="009071F2">
              <w:rPr>
                <w:szCs w:val="24"/>
              </w:rPr>
              <w:t>)</w:t>
            </w:r>
          </w:p>
        </w:tc>
      </w:tr>
    </w:tbl>
    <w:p w14:paraId="6857D0E5" w14:textId="12348C03" w:rsidR="009071F2" w:rsidRPr="00586ABA" w:rsidRDefault="009071F2" w:rsidP="009D3C67">
      <w:pPr>
        <w:ind w:firstLine="0"/>
        <w:rPr>
          <w:i/>
          <w:szCs w:val="24"/>
          <w:lang w:val="en-US"/>
        </w:rPr>
      </w:pPr>
      <w:r w:rsidRPr="009071F2">
        <w:rPr>
          <w:szCs w:val="24"/>
        </w:rPr>
        <w:t xml:space="preserve">Samozrejme aj pri tomto systéme poznáme niekoľko vecí, z ktorých môžeme vychádzať tak, aby sme dokázali replikovať výsledky z učebného materiálu. Základným je predpoklad, že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Pr="009071F2">
        <w:rPr>
          <w:rFonts w:eastAsiaTheme="minorEastAsia"/>
          <w:szCs w:val="24"/>
        </w:rPr>
        <w:t xml:space="preserve">, čo vlastne znamená </w:t>
      </w:r>
      <m:oMath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 w:rsidRPr="009071F2">
        <w:rPr>
          <w:rFonts w:eastAsiaTheme="minorEastAsia"/>
          <w:szCs w:val="24"/>
        </w:rPr>
        <w:t xml:space="preserve">. Tým pádom bude mať parameter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 w:rsidRPr="009071F2">
        <w:rPr>
          <w:rFonts w:eastAsiaTheme="minorEastAsia"/>
          <w:szCs w:val="24"/>
        </w:rPr>
        <w:t xml:space="preserve"> skoro nulový </w:t>
      </w:r>
      <w:r w:rsidRPr="009071F2">
        <w:rPr>
          <w:rFonts w:eastAsiaTheme="minorEastAsia"/>
          <w:szCs w:val="24"/>
        </w:rPr>
        <w:lastRenderedPageBreak/>
        <w:t>vplyv na dosahovanie podmienky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Pr="009071F2">
        <w:rPr>
          <w:rFonts w:eastAsiaTheme="minorEastAsia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 w:rsidRPr="009071F2">
        <w:rPr>
          <w:rFonts w:eastAsiaTheme="minorEastAsia"/>
          <w:szCs w:val="24"/>
        </w:rPr>
        <w:t xml:space="preserve"> má hodnotu </w:t>
      </w:r>
      <w:r>
        <w:rPr>
          <w:rFonts w:eastAsiaTheme="minorEastAsia"/>
          <w:szCs w:val="24"/>
        </w:rPr>
        <w:t xml:space="preserve">1,467dl/kg a nazýva sa distribučný objem glukózy. </w:t>
      </w:r>
      <w:r w:rsidR="00586ABA">
        <w:rPr>
          <w:rFonts w:eastAsiaTheme="minorEastAsia"/>
          <w:szCs w:val="24"/>
        </w:rPr>
        <w:t xml:space="preserve">Hodnota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=8,5 mmol/l</m:t>
        </m:r>
      </m:oMath>
      <w:r w:rsidR="00586ABA">
        <w:rPr>
          <w:rFonts w:eastAsiaTheme="minorEastAsia"/>
          <w:szCs w:val="24"/>
        </w:rPr>
        <w:t xml:space="preserve">. Pre simuláciu však musíme počítať s prepočítanou hodnotou na mg/dl. V tomto prípade bude teda hodnota 153. </w:t>
      </w:r>
      <w:r>
        <w:rPr>
          <w:rFonts w:eastAsiaTheme="minorEastAsia"/>
          <w:szCs w:val="24"/>
        </w:rPr>
        <w:t xml:space="preserve">Parametre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szCs w:val="24"/>
        </w:rPr>
        <w:t xml:space="preserve"> podliehajú neskoršej identifikácii</w:t>
      </w:r>
      <w:r w:rsidR="00586ABA">
        <w:rPr>
          <w:rFonts w:eastAsiaTheme="minorEastAsia"/>
          <w:szCs w:val="24"/>
        </w:rPr>
        <w:t xml:space="preserve"> – pre kontrolu však opäť najprv použijeme hodnoty z učebného materiálu. V ňom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=0,0106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min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-1</m:t>
            </m:r>
          </m:sup>
        </m:sSup>
      </m:oMath>
      <w:r w:rsidR="00586ABA">
        <w:rPr>
          <w:rFonts w:eastAsiaTheme="minorEastAsia"/>
          <w:szCs w:val="24"/>
          <w:lang w:val="en-US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=0,00159</m:t>
        </m:r>
        <m:r>
          <m:rPr>
            <m:sty m:val="p"/>
          </m:rPr>
          <w:rPr>
            <w:rFonts w:ascii="Cambria Math" w:hAnsi="Cambria Math"/>
          </w:rPr>
          <m:t>ml/</m:t>
        </m:r>
        <m:r>
          <m:rPr>
            <m:sty m:val="p"/>
          </m:rPr>
          <w:rPr>
            <w:rFonts w:ascii="Cambria Math" w:hAnsi="Cambria Math" w:cs="Times New Roman"/>
          </w:rPr>
          <m:t>µ</m:t>
        </m:r>
        <m:r>
          <m:rPr>
            <m:sty m:val="p"/>
          </m:rPr>
          <w:rPr>
            <w:rFonts w:ascii="Cambria Math" w:hAnsi="Cambria Math"/>
          </w:rPr>
          <m:t>U/min</m:t>
        </m:r>
      </m:oMath>
      <w:r w:rsidR="00586ABA">
        <w:rPr>
          <w:rFonts w:eastAsiaTheme="minorEastAsia"/>
        </w:rPr>
        <w:t>.</w:t>
      </w:r>
      <w:r w:rsidR="00E34265">
        <w:rPr>
          <w:rFonts w:eastAsiaTheme="minorEastAsia"/>
        </w:rPr>
        <w:t xml:space="preserve"> Poslednou neznámou z rovníc je signál </w:t>
      </w:r>
      <m:oMath>
        <m:r>
          <w:rPr>
            <w:rFonts w:ascii="Cambria Math" w:hAnsi="Cambria Math"/>
            <w:szCs w:val="24"/>
          </w:rPr>
          <m:t>Ra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E34265">
        <w:rPr>
          <w:rFonts w:eastAsiaTheme="minorEastAsia"/>
          <w:szCs w:val="24"/>
        </w:rPr>
        <w:t xml:space="preserve"> – v našom prípade to budú namerané dáta </w:t>
      </w:r>
      <w:proofErr w:type="spellStart"/>
      <w:r w:rsidR="00E34265">
        <w:rPr>
          <w:rFonts w:eastAsiaTheme="minorEastAsia"/>
          <w:szCs w:val="24"/>
        </w:rPr>
        <w:t>farmakodynamiky</w:t>
      </w:r>
      <w:proofErr w:type="spellEnd"/>
      <w:r w:rsidR="00E34265">
        <w:rPr>
          <w:rFonts w:eastAsiaTheme="minorEastAsia"/>
          <w:szCs w:val="24"/>
        </w:rPr>
        <w:t>.</w:t>
      </w:r>
    </w:p>
    <w:p w14:paraId="24F9F312" w14:textId="77777777" w:rsidR="00E34265" w:rsidRDefault="009D3C67" w:rsidP="00E3426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5DE475" wp14:editId="27D255CA">
            <wp:extent cx="5760720" cy="355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30EA" w14:textId="463660B7" w:rsidR="009D3C67" w:rsidRDefault="00E34265" w:rsidP="00E34265">
      <w:pPr>
        <w:pStyle w:val="Caption"/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  <w:r>
        <w:t xml:space="preserve">: </w:t>
      </w:r>
      <w:proofErr w:type="spellStart"/>
      <w:r>
        <w:t>Bergmannov</w:t>
      </w:r>
      <w:proofErr w:type="spellEnd"/>
      <w:r>
        <w:t xml:space="preserve"> minimálny model</w:t>
      </w:r>
    </w:p>
    <w:p w14:paraId="2F292CC4" w14:textId="77777777" w:rsidR="00E34265" w:rsidRPr="00E34265" w:rsidRDefault="00E34265" w:rsidP="00E34265"/>
    <w:p w14:paraId="1D830515" w14:textId="4666BA4A" w:rsidR="006A79EA" w:rsidRDefault="006A79EA" w:rsidP="006A79EA"/>
    <w:p w14:paraId="6E05838B" w14:textId="64946374" w:rsidR="006A79EA" w:rsidRDefault="006A79EA" w:rsidP="006A79EA"/>
    <w:p w14:paraId="2BB85200" w14:textId="592EA350" w:rsidR="006A79EA" w:rsidRDefault="006A79EA" w:rsidP="006A79EA"/>
    <w:p w14:paraId="6D3C21AE" w14:textId="36E50673" w:rsidR="006A79EA" w:rsidRDefault="006A79EA" w:rsidP="006A79EA"/>
    <w:p w14:paraId="0B353589" w14:textId="13536E63" w:rsidR="006A79EA" w:rsidRDefault="006A79EA" w:rsidP="006A79EA"/>
    <w:p w14:paraId="02BE867D" w14:textId="623A1790" w:rsidR="006A79EA" w:rsidRDefault="006A79EA" w:rsidP="006A79EA"/>
    <w:p w14:paraId="69A6EB52" w14:textId="439E8ADF" w:rsidR="006A79EA" w:rsidRDefault="006A79EA" w:rsidP="006A79EA"/>
    <w:p w14:paraId="34425DEF" w14:textId="711A7A41" w:rsidR="006A79EA" w:rsidRDefault="006A79EA" w:rsidP="006A79EA"/>
    <w:p w14:paraId="1FD1070D" w14:textId="310845E1" w:rsidR="006A79EA" w:rsidRDefault="006A79EA" w:rsidP="006A79EA"/>
    <w:p w14:paraId="256D9F82" w14:textId="798CFEBD" w:rsidR="006A79EA" w:rsidRDefault="006A79EA" w:rsidP="006A79EA"/>
    <w:p w14:paraId="31158190" w14:textId="2118302E" w:rsidR="006A79EA" w:rsidRDefault="006A79EA" w:rsidP="006A79EA"/>
    <w:p w14:paraId="37FD1766" w14:textId="037770DC" w:rsidR="006A79EA" w:rsidRDefault="006A79EA" w:rsidP="006A79EA"/>
    <w:p w14:paraId="1831625E" w14:textId="77777777" w:rsidR="006A79EA" w:rsidRPr="006A79EA" w:rsidRDefault="006A79EA" w:rsidP="006A79EA"/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B47BF2" w14:paraId="6F5EA906" w14:textId="77777777" w:rsidTr="008C1171">
        <w:tc>
          <w:tcPr>
            <w:tcW w:w="851" w:type="dxa"/>
            <w:vAlign w:val="center"/>
          </w:tcPr>
          <w:p w14:paraId="732D6023" w14:textId="77777777" w:rsidR="00B47BF2" w:rsidRDefault="00B47BF2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ECE0717" w14:textId="77777777" w:rsidR="00B47BF2" w:rsidRPr="00420CC5" w:rsidRDefault="00B47BF2" w:rsidP="008C1171">
            <w:pPr>
              <w:rPr>
                <w:rFonts w:eastAsiaTheme="minorEastAsia"/>
                <w:i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0F2D83F" w14:textId="77777777" w:rsidR="00B47BF2" w:rsidRDefault="00B47BF2" w:rsidP="008C1171">
            <w:pPr>
              <w:ind w:firstLine="0"/>
              <w:jc w:val="center"/>
            </w:pPr>
            <w:r>
              <w:t>(1)</w:t>
            </w:r>
          </w:p>
        </w:tc>
      </w:tr>
    </w:tbl>
    <w:p w14:paraId="36804D97" w14:textId="7B026EDB" w:rsidR="00B47BF2" w:rsidRPr="00C67789" w:rsidRDefault="00B47BF2">
      <w:pPr>
        <w:ind w:firstLine="0"/>
      </w:pPr>
    </w:p>
    <w:sectPr w:rsidR="00B47BF2" w:rsidRPr="00C67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69EE"/>
    <w:multiLevelType w:val="multilevel"/>
    <w:tmpl w:val="B47A4C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B46836"/>
    <w:multiLevelType w:val="hybridMultilevel"/>
    <w:tmpl w:val="345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E3"/>
    <w:rsid w:val="0000727D"/>
    <w:rsid w:val="000A77D9"/>
    <w:rsid w:val="00586ABA"/>
    <w:rsid w:val="0061185C"/>
    <w:rsid w:val="006A79EA"/>
    <w:rsid w:val="006B35DC"/>
    <w:rsid w:val="006D1014"/>
    <w:rsid w:val="00795445"/>
    <w:rsid w:val="008203B1"/>
    <w:rsid w:val="009071F2"/>
    <w:rsid w:val="00975525"/>
    <w:rsid w:val="00980123"/>
    <w:rsid w:val="009D3C67"/>
    <w:rsid w:val="009F5A73"/>
    <w:rsid w:val="00A975DE"/>
    <w:rsid w:val="00AB2DCD"/>
    <w:rsid w:val="00B47BF2"/>
    <w:rsid w:val="00C67789"/>
    <w:rsid w:val="00C80173"/>
    <w:rsid w:val="00C973FD"/>
    <w:rsid w:val="00D721A8"/>
    <w:rsid w:val="00DE50E3"/>
    <w:rsid w:val="00E34265"/>
    <w:rsid w:val="00E92441"/>
    <w:rsid w:val="00EA4EA9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4D1E"/>
  <w15:chartTrackingRefBased/>
  <w15:docId w15:val="{3B1C6913-A7DB-4536-A1C4-648AB713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E3"/>
    <w:pPr>
      <w:spacing w:before="120"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445"/>
    <w:pPr>
      <w:keepNext/>
      <w:keepLines/>
      <w:numPr>
        <w:numId w:val="9"/>
      </w:numPr>
      <w:spacing w:before="240" w:after="24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445"/>
    <w:pPr>
      <w:keepNext/>
      <w:keepLines/>
      <w:numPr>
        <w:ilvl w:val="1"/>
        <w:numId w:val="9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445"/>
    <w:pPr>
      <w:keepNext/>
      <w:keepLines/>
      <w:numPr>
        <w:ilvl w:val="2"/>
        <w:numId w:val="9"/>
      </w:numPr>
      <w:spacing w:before="24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445"/>
    <w:pPr>
      <w:keepNext/>
      <w:keepLines/>
      <w:numPr>
        <w:ilvl w:val="3"/>
        <w:numId w:val="9"/>
      </w:numPr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4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4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4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4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4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4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44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44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44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9544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445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A4EA9"/>
    <w:pPr>
      <w:spacing w:before="0"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table" w:styleId="TableGrid">
    <w:name w:val="Table Grid"/>
    <w:basedOn w:val="TableNormal"/>
    <w:uiPriority w:val="39"/>
    <w:rsid w:val="00611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5DC"/>
    <w:pPr>
      <w:spacing w:before="0" w:after="160" w:line="259" w:lineRule="auto"/>
      <w:ind w:left="720" w:firstLine="0"/>
      <w:contextualSpacing/>
      <w:jc w:val="left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AEA45-C136-48C5-8FD9-65ABFA9A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Chylík</dc:creator>
  <cp:keywords/>
  <dc:description/>
  <cp:lastModifiedBy>Marko Chylík</cp:lastModifiedBy>
  <cp:revision>12</cp:revision>
  <dcterms:created xsi:type="dcterms:W3CDTF">2021-10-20T20:05:00Z</dcterms:created>
  <dcterms:modified xsi:type="dcterms:W3CDTF">2021-10-20T22:12:00Z</dcterms:modified>
</cp:coreProperties>
</file>