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Quarterly Memo</w:t>
      </w:r>
    </w:p>
    <w:p>
      <w:pPr>
        <w:pStyle w:val="Normal"/>
        <w:rPr/>
      </w:pPr>
      <w:r>
        <w:rPr/>
        <w:t xml:space="preserve">Revenue grew </w:t>
      </w:r>
      <w:r>
        <w:rPr>
          <w:b/>
          <w:color w:val="C00000"/>
        </w:rPr>
        <w:t>twelve percent</w:t>
      </w:r>
      <w:r>
        <w:rPr/>
        <w:t xml:space="preserve"> quarter over quarter, with </w:t>
      </w:r>
      <w:r>
        <w:rPr>
          <w:i/>
        </w:rPr>
        <w:t>margins</w:t>
      </w:r>
      <w:r>
        <w:rPr/>
        <w:t xml:space="preserve"> holding steady.</w:t>
      </w:r>
    </w:p>
    <w:p>
      <w:pPr>
        <w:pStyle w:val="Heading1"/>
        <w:ind w:hanging="0" w:left="0"/>
        <w:rPr/>
      </w:pPr>
      <w:r>
        <w:rPr/>
        <w:t>Highlights</w:t>
      </w:r>
    </w:p>
    <w:p>
      <w:pPr>
        <w:pStyle w:val="ListBullet"/>
        <w:numPr>
          <w:ilvl w:val="0"/>
          <w:numId w:val="2"/>
        </w:numPr>
        <w:ind w:hanging="0" w:left="0"/>
        <w:rPr/>
      </w:pPr>
      <w:r>
        <w:rPr/>
        <w:t>Launched the new editor</w:t>
      </w:r>
    </w:p>
    <w:p>
      <w:pPr>
        <w:pStyle w:val="ListBullet"/>
        <w:numPr>
          <w:ilvl w:val="0"/>
          <w:numId w:val="2"/>
        </w:numPr>
        <w:ind w:hanging="0" w:left="0"/>
        <w:rPr/>
      </w:pPr>
      <w:r>
        <w:rPr/>
        <w:t>Closed three enterprise deals</w:t>
      </w:r>
    </w:p>
    <w:p>
      <w:pPr>
        <w:pStyle w:val="ListBullet"/>
        <w:numPr>
          <w:ilvl w:val="0"/>
          <w:numId w:val="2"/>
        </w:numPr>
        <w:ind w:hanging="0" w:left="0"/>
        <w:rPr/>
      </w:pPr>
      <w:r>
        <w:rPr/>
        <w:t>Hired five engineers</w:t>
      </w:r>
    </w:p>
    <w:p>
      <w:pPr>
        <w:pStyle w:val="Heading1"/>
        <w:ind w:hanging="0" w:left="0"/>
        <w:rPr>
          <w:rFonts w:eastAsia="ＭＳ 明朝" w:cs=""/>
          <w:kern w:val="0"/>
          <w:sz w:val="22"/>
          <w:szCs w:val="22"/>
          <w:lang w:val="en-US" w:eastAsia="en-US" w:bidi="ar-SA"/>
        </w:rPr>
      </w:pPr>
      <w:r>
        <w:rPr/>
        <w:t>Numbers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Q3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Revenue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112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Cost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63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Margin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 w:left="0"/>
        <w:rPr/>
      </w:pPr>
      <w:r>
        <w:rPr/>
        <w:t>Appendix</w:t>
      </w:r>
    </w:p>
    <w:p>
      <w:pPr>
        <w:pStyle w:val="Normal"/>
        <w:rPr/>
      </w:pPr>
      <w:r>
        <w:rPr/>
        <w:t>Café façade naïve – unicode survives the round trip.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inline distT="0" distB="0" distL="0" distR="0">
            <wp:extent cx="914400" cy="9144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9" t="-59" r="-59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Symbol">
    <w:charset w:val="02"/>
    <w:family w:val="auto"/>
    <w:pitch w:val="default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WenQuanYi Zen Hei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 w:right="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hanging="0" w:left="720" w:right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spacing w:before="0" w:after="200"/>
      <w:ind w:hanging="360" w:left="720" w:right="0"/>
      <w:contextualSpacing/>
    </w:pPr>
    <w:rPr/>
  </w:style>
  <w:style w:type="paragraph" w:styleId="ListBullet3">
    <w:name w:val="List Bullet 3"/>
    <w:basedOn w:val="Normal"/>
    <w:pPr>
      <w:spacing w:before="0" w:after="200"/>
      <w:ind w:hanging="360" w:left="1080" w:right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1">
    <w:name w:val="List Bullet 21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1">
    <w:name w:val="List Bullet 31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left="360" w:right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left="720" w:right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left="1080" w:right="0"/>
      <w:contextualSpacing/>
    </w:pPr>
    <w:rPr/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;Courier New" w:hAnsi="Courier;Courier New" w:eastAsia="ＭＳ 明朝" w:cs="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