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pPr>
        <w:pStyle w:val="Heading1"/>
      </w:pPr>
      <w:r>
        <w:t>1. Services</w:t>
      </w:r>
    </w:p>
    <w:p>
      <w:r>
        <w:t>Provider shall perform the services described in each Statement of Work ("SOW") executed by the parties.</w:t>
      </w:r>
    </w:p>
    <w:p>
      <w:pPr>
        <w:pStyle w:val="ListBullet"/>
      </w:pPr>
      <w:r>
        <w:t>Each SOW shall describe deliverables, milestones and fees.</w:t>
      </w:r>
    </w:p>
    <w:p>
      <w:pPr>
        <w:pStyle w:val="ListBullet"/>
      </w:pPr>
      <w:r>
        <w:t>Change orders must be in writing.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Payment</w:t>
      </w:r>
    </w:p>
    <w:p>
      <w:r>
        <w:t xml:space="preserve">Invoices are due </w:t>
      </w:r>
      <w:r>
        <w:rPr>
          <w:b/>
          <w:i/>
        </w:rPr>
        <w:t>net thirty (30) days</w:t>
      </w:r>
      <w:r>
        <w:t xml:space="preserve"> from receipt.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$10,000</w:t>
            </w:r>
          </w:p>
        </w:tc>
      </w:tr>
    </w:tbl>
    <w:p>
      <w:r>
        <w:br w:type="page"/>
      </w:r>
    </w:p>
    <w:p>
      <w:pPr>
        <w:pStyle w:val="Heading1"/>
      </w:pPr>
      <w:r>
        <w:t>3. Termination</w:t>
      </w:r>
    </w:p>
    <w:p>
      <w:r>
        <w:t>Either party may terminate this Agreement for material breach that remains uncured thirty (30) days after written notice.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docPartObj>
          <w:docPartGallery w:val="Table of Contents"/>
          <w:docPartUnique/>
        </w:docPartObj>
      </w:sdtPr>
      <w:sdtContent>
        <w:p>
          <w:r>
            <w:t>Table of Contents</w:t>
          </w:r>
        </w:p>
        <w:p>
          <w:r>
            <w:t>1. Services ........ 1</w:t>
          </w:r>
        </w:p>
      </w:sdtContent>
    </w:sdt>
    <w:bookmarkStart w:id="9" w:name="services"/>
    <w:bookmarkEnd w:id="9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Master Services Agreement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Acme / Globex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