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pPr w:leftFromText="180" w:rightFromText="180" w:vertAnchor="page" w:horzAnchor="margin" w:tblpY="6988"/>
        <w:tblW w:w="5286" w:type="pct"/>
        <w:tblLayout w:type="fixed"/>
        <w:tblLook w:val="0020" w:firstRow="1" w:lastRow="0" w:firstColumn="0" w:lastColumn="0" w:noHBand="0" w:noVBand="0"/>
      </w:tblPr>
      <w:tblGrid>
        <w:gridCol w:w="991"/>
        <w:gridCol w:w="1070"/>
        <w:gridCol w:w="1092"/>
        <w:gridCol w:w="1228"/>
        <w:gridCol w:w="1749"/>
        <w:gridCol w:w="1768"/>
        <w:gridCol w:w="1092"/>
      </w:tblGrid>
      <w:tr w:rsidR="006F7337" w:rsidRPr="00A86ACF" w14:paraId="11FE5354" w14:textId="77777777" w:rsidTr="006F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1" w:type="dxa"/>
            <w:vMerge w:val="restart"/>
            <w:tcBorders>
              <w:top w:val="single" w:sz="8" w:space="0" w:color="auto"/>
            </w:tcBorders>
            <w:vAlign w:val="center"/>
          </w:tcPr>
          <w:p w14:paraId="0D791A1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Trait</w:t>
            </w:r>
          </w:p>
        </w:tc>
        <w:tc>
          <w:tcPr>
            <w:tcW w:w="2162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EA378C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Intercept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961DE3C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Order</w:t>
            </w:r>
          </w:p>
        </w:tc>
        <w:tc>
          <w:tcPr>
            <w:tcW w:w="174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A977EB0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Feeding guild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14:paraId="10E3E61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Latitude</w:t>
            </w:r>
          </w:p>
        </w:tc>
      </w:tr>
      <w:tr w:rsidR="006F7337" w:rsidRPr="00A86ACF" w14:paraId="639E69C7" w14:textId="77777777" w:rsidTr="006F7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1" w:type="dxa"/>
            <w:vMerge/>
            <w:tcBorders>
              <w:bottom w:val="single" w:sz="8" w:space="0" w:color="auto"/>
            </w:tcBorders>
            <w:vAlign w:val="center"/>
          </w:tcPr>
          <w:p w14:paraId="64CF6A9F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3A3CF1" w14:textId="77777777" w:rsidR="006F7337" w:rsidRPr="006F7337" w:rsidRDefault="006F7337" w:rsidP="006F7337">
            <w:pPr>
              <w:pStyle w:val="Compact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estimate</w:t>
            </w:r>
          </w:p>
        </w:tc>
        <w:tc>
          <w:tcPr>
            <w:tcW w:w="10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940A199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s.e.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843F53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P</w:t>
            </w:r>
          </w:p>
        </w:tc>
        <w:tc>
          <w:tcPr>
            <w:tcW w:w="174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F7E3DB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P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911E11B" w14:textId="57BE4F4D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Theme="minorEastAsia"/>
                <w:i w:val="0"/>
                <w:iCs/>
              </w:rPr>
              <w:t>slope (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i w:val="0"/>
                      <w:iCs/>
                    </w:rPr>
                    <m:t>latitude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0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F5A3EC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="Cambria"/>
                <w:i w:val="0"/>
                <w:iCs/>
              </w:rPr>
              <w:t>P</w:t>
            </w:r>
          </w:p>
        </w:tc>
      </w:tr>
      <w:tr w:rsidR="006F7337" w:rsidRPr="00A86ACF" w14:paraId="4568B7BE" w14:textId="77777777" w:rsidTr="006F7337">
        <w:tc>
          <w:tcPr>
            <w:tcW w:w="991" w:type="dxa"/>
            <w:tcBorders>
              <w:top w:val="single" w:sz="8" w:space="0" w:color="auto"/>
            </w:tcBorders>
            <w:vAlign w:val="center"/>
          </w:tcPr>
          <w:p w14:paraId="4F4CD75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CT</w:t>
            </w:r>
            <w:r w:rsidRPr="006F7337">
              <w:rPr>
                <w:i w:val="0"/>
                <w:iCs/>
                <w:vertAlign w:val="subscript"/>
              </w:rPr>
              <w:t>min</w:t>
            </w:r>
            <w:proofErr w:type="spellEnd"/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14:paraId="51EE6C4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10.70</w:t>
            </w:r>
          </w:p>
        </w:tc>
        <w:tc>
          <w:tcPr>
            <w:tcW w:w="1092" w:type="dxa"/>
            <w:tcBorders>
              <w:top w:val="single" w:sz="8" w:space="0" w:color="auto"/>
            </w:tcBorders>
            <w:vAlign w:val="center"/>
          </w:tcPr>
          <w:p w14:paraId="42BD2F7F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0.49</w:t>
            </w:r>
          </w:p>
        </w:tc>
        <w:tc>
          <w:tcPr>
            <w:tcW w:w="1228" w:type="dxa"/>
            <w:tcBorders>
              <w:top w:val="single" w:sz="8" w:space="0" w:color="auto"/>
            </w:tcBorders>
            <w:vAlign w:val="center"/>
          </w:tcPr>
          <w:p w14:paraId="6ED3E217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0.80</w:t>
            </w:r>
          </w:p>
        </w:tc>
        <w:tc>
          <w:tcPr>
            <w:tcW w:w="1749" w:type="dxa"/>
            <w:tcBorders>
              <w:top w:val="single" w:sz="8" w:space="0" w:color="auto"/>
            </w:tcBorders>
            <w:vAlign w:val="center"/>
          </w:tcPr>
          <w:p w14:paraId="51958D15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0.105</w:t>
            </w:r>
          </w:p>
        </w:tc>
        <w:tc>
          <w:tcPr>
            <w:tcW w:w="1768" w:type="dxa"/>
            <w:tcBorders>
              <w:top w:val="single" w:sz="8" w:space="0" w:color="auto"/>
            </w:tcBorders>
            <w:vAlign w:val="center"/>
          </w:tcPr>
          <w:p w14:paraId="71523ADD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b/>
                <w:bCs/>
                <w:i w:val="0"/>
                <w:iCs/>
              </w:rPr>
            </w:pPr>
            <w:r w:rsidRPr="006F7337">
              <w:rPr>
                <w:b/>
                <w:bCs/>
                <w:i w:val="0"/>
                <w:iCs/>
              </w:rPr>
              <w:t>- 0.078</w:t>
            </w:r>
          </w:p>
        </w:tc>
        <w:tc>
          <w:tcPr>
            <w:tcW w:w="1092" w:type="dxa"/>
            <w:tcBorders>
              <w:top w:val="single" w:sz="8" w:space="0" w:color="auto"/>
            </w:tcBorders>
            <w:vAlign w:val="center"/>
          </w:tcPr>
          <w:p w14:paraId="7AA92120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b/>
                <w:bCs/>
                <w:i w:val="0"/>
                <w:iCs/>
              </w:rPr>
            </w:pPr>
            <w:r w:rsidRPr="006F7337">
              <w:rPr>
                <w:b/>
                <w:bCs/>
                <w:i w:val="0"/>
                <w:iCs/>
              </w:rPr>
              <w:t>0.048</w:t>
            </w:r>
          </w:p>
        </w:tc>
      </w:tr>
      <w:tr w:rsidR="006F7337" w:rsidRPr="00A86ACF" w14:paraId="47C61269" w14:textId="77777777" w:rsidTr="006F7337">
        <w:tc>
          <w:tcPr>
            <w:tcW w:w="991" w:type="dxa"/>
            <w:vAlign w:val="center"/>
          </w:tcPr>
          <w:p w14:paraId="5D5DDC3F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CT</w:t>
            </w:r>
            <w:r w:rsidRPr="006F7337">
              <w:rPr>
                <w:i w:val="0"/>
                <w:iCs/>
                <w:vertAlign w:val="subscript"/>
              </w:rPr>
              <w:t>max</w:t>
            </w:r>
            <w:proofErr w:type="spellEnd"/>
          </w:p>
        </w:tc>
        <w:tc>
          <w:tcPr>
            <w:tcW w:w="1070" w:type="dxa"/>
            <w:vAlign w:val="center"/>
          </w:tcPr>
          <w:p w14:paraId="74D75020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35.44</w:t>
            </w:r>
          </w:p>
        </w:tc>
        <w:tc>
          <w:tcPr>
            <w:tcW w:w="1092" w:type="dxa"/>
            <w:vAlign w:val="center"/>
          </w:tcPr>
          <w:p w14:paraId="0329C368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0.58</w:t>
            </w:r>
          </w:p>
        </w:tc>
        <w:tc>
          <w:tcPr>
            <w:tcW w:w="1228" w:type="dxa"/>
            <w:vAlign w:val="center"/>
          </w:tcPr>
          <w:p w14:paraId="743A0FEB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0.17</w:t>
            </w:r>
          </w:p>
        </w:tc>
        <w:tc>
          <w:tcPr>
            <w:tcW w:w="1749" w:type="dxa"/>
            <w:vAlign w:val="center"/>
          </w:tcPr>
          <w:p w14:paraId="7281B1D7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0.386</w:t>
            </w:r>
          </w:p>
        </w:tc>
        <w:tc>
          <w:tcPr>
            <w:tcW w:w="1768" w:type="dxa"/>
            <w:vAlign w:val="center"/>
          </w:tcPr>
          <w:p w14:paraId="7490859B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0.02</w:t>
            </w:r>
          </w:p>
        </w:tc>
        <w:tc>
          <w:tcPr>
            <w:tcW w:w="1092" w:type="dxa"/>
            <w:vAlign w:val="center"/>
          </w:tcPr>
          <w:p w14:paraId="676278ED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0.713</w:t>
            </w:r>
          </w:p>
        </w:tc>
      </w:tr>
      <w:tr w:rsidR="006F7337" w:rsidRPr="00A86ACF" w14:paraId="2FEEDF52" w14:textId="77777777" w:rsidTr="006F7337">
        <w:tc>
          <w:tcPr>
            <w:tcW w:w="991" w:type="dxa"/>
            <w:vAlign w:val="center"/>
          </w:tcPr>
          <w:p w14:paraId="14BD18B8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T</w:t>
            </w:r>
            <w:r w:rsidRPr="006F7337">
              <w:rPr>
                <w:i w:val="0"/>
                <w:iCs/>
                <w:vertAlign w:val="subscript"/>
              </w:rPr>
              <w:t>opt</w:t>
            </w:r>
            <w:proofErr w:type="spellEnd"/>
          </w:p>
        </w:tc>
        <w:tc>
          <w:tcPr>
            <w:tcW w:w="1070" w:type="dxa"/>
            <w:vAlign w:val="center"/>
          </w:tcPr>
          <w:p w14:paraId="356A04C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28.15</w:t>
            </w:r>
          </w:p>
        </w:tc>
        <w:tc>
          <w:tcPr>
            <w:tcW w:w="1092" w:type="dxa"/>
            <w:vAlign w:val="center"/>
          </w:tcPr>
          <w:p w14:paraId="3F459657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0.33</w:t>
            </w:r>
          </w:p>
        </w:tc>
        <w:tc>
          <w:tcPr>
            <w:tcW w:w="1228" w:type="dxa"/>
            <w:vAlign w:val="center"/>
          </w:tcPr>
          <w:p w14:paraId="6BA557D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0.43</w:t>
            </w:r>
          </w:p>
        </w:tc>
        <w:tc>
          <w:tcPr>
            <w:tcW w:w="1749" w:type="dxa"/>
            <w:vAlign w:val="center"/>
          </w:tcPr>
          <w:p w14:paraId="412834A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0.492</w:t>
            </w:r>
          </w:p>
        </w:tc>
        <w:tc>
          <w:tcPr>
            <w:tcW w:w="1768" w:type="dxa"/>
            <w:vAlign w:val="center"/>
          </w:tcPr>
          <w:p w14:paraId="3E784787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-0.013</w:t>
            </w:r>
          </w:p>
        </w:tc>
        <w:tc>
          <w:tcPr>
            <w:tcW w:w="1092" w:type="dxa"/>
            <w:vAlign w:val="center"/>
          </w:tcPr>
          <w:p w14:paraId="275CD89E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0.641</w:t>
            </w:r>
          </w:p>
        </w:tc>
      </w:tr>
      <w:tr w:rsidR="006F7337" w:rsidRPr="00A86ACF" w14:paraId="17B99EE6" w14:textId="77777777" w:rsidTr="006F7337">
        <w:tc>
          <w:tcPr>
            <w:tcW w:w="991" w:type="dxa"/>
            <w:vAlign w:val="center"/>
          </w:tcPr>
          <w:p w14:paraId="79FA0FEC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r</w:t>
            </w:r>
            <w:r w:rsidRPr="006F7337">
              <w:rPr>
                <w:i w:val="0"/>
                <w:iCs/>
                <w:vertAlign w:val="subscript"/>
              </w:rPr>
              <w:t>max</w:t>
            </w:r>
            <w:proofErr w:type="spellEnd"/>
          </w:p>
        </w:tc>
        <w:tc>
          <w:tcPr>
            <w:tcW w:w="1070" w:type="dxa"/>
            <w:vAlign w:val="center"/>
          </w:tcPr>
          <w:p w14:paraId="0941C759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0.1756</w:t>
            </w:r>
          </w:p>
        </w:tc>
        <w:tc>
          <w:tcPr>
            <w:tcW w:w="1092" w:type="dxa"/>
            <w:vAlign w:val="center"/>
          </w:tcPr>
          <w:p w14:paraId="3B89697D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0.0116</w:t>
            </w:r>
          </w:p>
        </w:tc>
        <w:tc>
          <w:tcPr>
            <w:tcW w:w="1228" w:type="dxa"/>
            <w:vAlign w:val="center"/>
          </w:tcPr>
          <w:p w14:paraId="21A0B72E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b/>
                <w:bCs/>
                <w:i w:val="0"/>
                <w:iCs/>
              </w:rPr>
            </w:pPr>
            <w:r w:rsidRPr="006F7337">
              <w:rPr>
                <w:b/>
                <w:bCs/>
                <w:i w:val="0"/>
                <w:iCs/>
              </w:rPr>
              <w:t>&lt; 0.01</w:t>
            </w:r>
          </w:p>
        </w:tc>
        <w:tc>
          <w:tcPr>
            <w:tcW w:w="1749" w:type="dxa"/>
            <w:vAlign w:val="center"/>
          </w:tcPr>
          <w:p w14:paraId="2DA0203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b/>
                <w:bCs/>
                <w:i w:val="0"/>
                <w:iCs/>
              </w:rPr>
              <w:t>&lt; 0.01</w:t>
            </w:r>
          </w:p>
        </w:tc>
        <w:tc>
          <w:tcPr>
            <w:tcW w:w="1768" w:type="dxa"/>
            <w:vAlign w:val="center"/>
          </w:tcPr>
          <w:p w14:paraId="7301139B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0.002</w:t>
            </w:r>
          </w:p>
        </w:tc>
        <w:tc>
          <w:tcPr>
            <w:tcW w:w="1092" w:type="dxa"/>
            <w:vAlign w:val="center"/>
          </w:tcPr>
          <w:p w14:paraId="0B5A068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0.732</w:t>
            </w:r>
          </w:p>
        </w:tc>
      </w:tr>
      <w:tr w:rsidR="006F7337" w:rsidRPr="00A86ACF" w14:paraId="262CEB4C" w14:textId="77777777" w:rsidTr="006F7337">
        <w:tc>
          <w:tcPr>
            <w:tcW w:w="991" w:type="dxa"/>
            <w:vAlign w:val="center"/>
          </w:tcPr>
          <w:p w14:paraId="47118AF6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T</w:t>
            </w:r>
            <w:r w:rsidRPr="006F7337">
              <w:rPr>
                <w:i w:val="0"/>
                <w:iCs/>
                <w:vertAlign w:val="subscript"/>
              </w:rPr>
              <w:t>breadth</w:t>
            </w:r>
            <w:proofErr w:type="spellEnd"/>
          </w:p>
        </w:tc>
        <w:tc>
          <w:tcPr>
            <w:tcW w:w="1070" w:type="dxa"/>
            <w:vAlign w:val="center"/>
          </w:tcPr>
          <w:p w14:paraId="070CDC0F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7.03</w:t>
            </w:r>
          </w:p>
        </w:tc>
        <w:tc>
          <w:tcPr>
            <w:tcW w:w="1092" w:type="dxa"/>
            <w:vAlign w:val="center"/>
          </w:tcPr>
          <w:p w14:paraId="1362D304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0.18</w:t>
            </w:r>
          </w:p>
        </w:tc>
        <w:tc>
          <w:tcPr>
            <w:tcW w:w="1228" w:type="dxa"/>
            <w:vAlign w:val="center"/>
          </w:tcPr>
          <w:p w14:paraId="5145F055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0.95</w:t>
            </w:r>
          </w:p>
        </w:tc>
        <w:tc>
          <w:tcPr>
            <w:tcW w:w="1749" w:type="dxa"/>
            <w:vAlign w:val="center"/>
          </w:tcPr>
          <w:p w14:paraId="0321C958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0.545</w:t>
            </w:r>
          </w:p>
        </w:tc>
        <w:tc>
          <w:tcPr>
            <w:tcW w:w="1768" w:type="dxa"/>
            <w:vAlign w:val="center"/>
          </w:tcPr>
          <w:p w14:paraId="4235EDFD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0.024</w:t>
            </w:r>
          </w:p>
        </w:tc>
        <w:tc>
          <w:tcPr>
            <w:tcW w:w="1092" w:type="dxa"/>
            <w:vAlign w:val="center"/>
          </w:tcPr>
          <w:p w14:paraId="29F7E585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0.086</w:t>
            </w:r>
          </w:p>
        </w:tc>
      </w:tr>
      <w:tr w:rsidR="006F7337" w:rsidRPr="00A86ACF" w14:paraId="44F6DD39" w14:textId="77777777" w:rsidTr="006F7337">
        <w:tc>
          <w:tcPr>
            <w:tcW w:w="991" w:type="dxa"/>
            <w:vAlign w:val="center"/>
          </w:tcPr>
          <w:p w14:paraId="244B7D21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T</w:t>
            </w:r>
            <w:r w:rsidRPr="006F7337">
              <w:rPr>
                <w:i w:val="0"/>
                <w:iCs/>
                <w:vertAlign w:val="subscript"/>
              </w:rPr>
              <w:t>tolerance</w:t>
            </w:r>
            <w:proofErr w:type="spellEnd"/>
          </w:p>
        </w:tc>
        <w:tc>
          <w:tcPr>
            <w:tcW w:w="1070" w:type="dxa"/>
            <w:vAlign w:val="center"/>
          </w:tcPr>
          <w:p w14:paraId="7F0C2F81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="Cambria"/>
                <w:i w:val="0"/>
                <w:iCs/>
              </w:rPr>
              <w:t>25.11</w:t>
            </w:r>
          </w:p>
        </w:tc>
        <w:tc>
          <w:tcPr>
            <w:tcW w:w="1092" w:type="dxa"/>
            <w:vAlign w:val="center"/>
          </w:tcPr>
          <w:p w14:paraId="118763DF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="Cambria"/>
                <w:i w:val="0"/>
                <w:iCs/>
              </w:rPr>
              <w:t>0.72</w:t>
            </w:r>
          </w:p>
        </w:tc>
        <w:tc>
          <w:tcPr>
            <w:tcW w:w="1228" w:type="dxa"/>
            <w:vAlign w:val="center"/>
          </w:tcPr>
          <w:p w14:paraId="120F2D2B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0.82</w:t>
            </w:r>
          </w:p>
        </w:tc>
        <w:tc>
          <w:tcPr>
            <w:tcW w:w="1749" w:type="dxa"/>
            <w:vAlign w:val="center"/>
          </w:tcPr>
          <w:p w14:paraId="6B448536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b/>
                <w:bCs/>
                <w:i w:val="0"/>
                <w:iCs/>
              </w:rPr>
            </w:pPr>
            <w:r w:rsidRPr="006F7337">
              <w:rPr>
                <w:b/>
                <w:bCs/>
                <w:i w:val="0"/>
                <w:iCs/>
              </w:rPr>
              <w:t>0.035</w:t>
            </w:r>
          </w:p>
        </w:tc>
        <w:tc>
          <w:tcPr>
            <w:tcW w:w="1768" w:type="dxa"/>
            <w:vAlign w:val="center"/>
          </w:tcPr>
          <w:p w14:paraId="3EB76A78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0.105</w:t>
            </w:r>
          </w:p>
        </w:tc>
        <w:tc>
          <w:tcPr>
            <w:tcW w:w="1092" w:type="dxa"/>
            <w:vAlign w:val="center"/>
          </w:tcPr>
          <w:p w14:paraId="1D7C4F31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0.059</w:t>
            </w:r>
          </w:p>
        </w:tc>
      </w:tr>
      <w:tr w:rsidR="006F7337" w:rsidRPr="00A86ACF" w14:paraId="79987B78" w14:textId="77777777" w:rsidTr="006F7337">
        <w:tc>
          <w:tcPr>
            <w:tcW w:w="991" w:type="dxa"/>
            <w:tcBorders>
              <w:bottom w:val="single" w:sz="8" w:space="0" w:color="auto"/>
            </w:tcBorders>
            <w:vAlign w:val="center"/>
          </w:tcPr>
          <w:p w14:paraId="4D91A60D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proofErr w:type="spellStart"/>
            <w:r w:rsidRPr="006F7337">
              <w:rPr>
                <w:i w:val="0"/>
                <w:iCs/>
              </w:rPr>
              <w:t>T</w:t>
            </w:r>
            <w:r w:rsidRPr="006F7337">
              <w:rPr>
                <w:i w:val="0"/>
                <w:iCs/>
                <w:vertAlign w:val="subscript"/>
              </w:rPr>
              <w:t>range</w:t>
            </w:r>
            <w:proofErr w:type="spellEnd"/>
          </w:p>
        </w:tc>
        <w:tc>
          <w:tcPr>
            <w:tcW w:w="1070" w:type="dxa"/>
            <w:tcBorders>
              <w:bottom w:val="single" w:sz="8" w:space="0" w:color="auto"/>
            </w:tcBorders>
            <w:vAlign w:val="center"/>
          </w:tcPr>
          <w:p w14:paraId="679C3276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="Cambria"/>
                <w:i w:val="0"/>
                <w:iCs/>
              </w:rPr>
              <w:t>17.47</w:t>
            </w:r>
          </w:p>
        </w:tc>
        <w:tc>
          <w:tcPr>
            <w:tcW w:w="1092" w:type="dxa"/>
            <w:tcBorders>
              <w:bottom w:val="single" w:sz="8" w:space="0" w:color="auto"/>
            </w:tcBorders>
            <w:vAlign w:val="center"/>
          </w:tcPr>
          <w:p w14:paraId="6E48CEBA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rFonts w:eastAsia="Cambria"/>
                <w:i w:val="0"/>
                <w:iCs/>
              </w:rPr>
            </w:pPr>
            <w:r w:rsidRPr="006F7337">
              <w:rPr>
                <w:rFonts w:eastAsia="Cambria"/>
                <w:i w:val="0"/>
                <w:iCs/>
              </w:rPr>
              <w:t>0.55</w:t>
            </w:r>
          </w:p>
        </w:tc>
        <w:tc>
          <w:tcPr>
            <w:tcW w:w="1228" w:type="dxa"/>
            <w:tcBorders>
              <w:bottom w:val="single" w:sz="8" w:space="0" w:color="auto"/>
            </w:tcBorders>
            <w:vAlign w:val="center"/>
          </w:tcPr>
          <w:p w14:paraId="7A2FAB0E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0.88</w:t>
            </w:r>
          </w:p>
        </w:tc>
        <w:tc>
          <w:tcPr>
            <w:tcW w:w="1749" w:type="dxa"/>
            <w:tcBorders>
              <w:bottom w:val="single" w:sz="8" w:space="0" w:color="auto"/>
            </w:tcBorders>
            <w:vAlign w:val="center"/>
          </w:tcPr>
          <w:p w14:paraId="11C23119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0.068</w:t>
            </w:r>
          </w:p>
        </w:tc>
        <w:tc>
          <w:tcPr>
            <w:tcW w:w="1768" w:type="dxa"/>
            <w:tcBorders>
              <w:bottom w:val="single" w:sz="8" w:space="0" w:color="auto"/>
            </w:tcBorders>
            <w:vAlign w:val="center"/>
          </w:tcPr>
          <w:p w14:paraId="61E24D0B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0.066</w:t>
            </w:r>
          </w:p>
        </w:tc>
        <w:tc>
          <w:tcPr>
            <w:tcW w:w="1092" w:type="dxa"/>
            <w:tcBorders>
              <w:bottom w:val="single" w:sz="8" w:space="0" w:color="auto"/>
            </w:tcBorders>
            <w:vAlign w:val="center"/>
          </w:tcPr>
          <w:p w14:paraId="41B28B58" w14:textId="77777777" w:rsidR="006F7337" w:rsidRPr="006F7337" w:rsidRDefault="006F7337" w:rsidP="006F7337">
            <w:pPr>
              <w:pStyle w:val="Compact"/>
              <w:spacing w:line="480" w:lineRule="auto"/>
              <w:jc w:val="center"/>
              <w:rPr>
                <w:i w:val="0"/>
                <w:iCs/>
              </w:rPr>
            </w:pPr>
            <w:r w:rsidRPr="006F7337">
              <w:rPr>
                <w:i w:val="0"/>
                <w:iCs/>
              </w:rPr>
              <w:t>0.145</w:t>
            </w:r>
          </w:p>
        </w:tc>
      </w:tr>
    </w:tbl>
    <w:p w14:paraId="0DEA3B2C" w14:textId="77777777" w:rsidR="006F7337" w:rsidRDefault="006F7337" w:rsidP="006F7337">
      <w:pPr>
        <w:pStyle w:val="TableCaption"/>
        <w:spacing w:line="480" w:lineRule="auto"/>
        <w:rPr>
          <w:b/>
          <w:bCs/>
          <w:i w:val="0"/>
          <w:iCs/>
        </w:rPr>
      </w:pPr>
    </w:p>
    <w:p w14:paraId="1B1D0BA0" w14:textId="1586AC35" w:rsidR="006F7337" w:rsidRPr="00A86ACF" w:rsidRDefault="006F7337" w:rsidP="006F7337">
      <w:pPr>
        <w:pStyle w:val="TableCaption"/>
        <w:spacing w:line="480" w:lineRule="auto"/>
        <w:rPr>
          <w:i w:val="0"/>
        </w:rPr>
      </w:pPr>
      <w:r w:rsidRPr="00A86ACF">
        <w:rPr>
          <w:b/>
          <w:bCs/>
          <w:i w:val="0"/>
          <w:iCs/>
        </w:rPr>
        <w:t>Table 1</w:t>
      </w:r>
      <w:r w:rsidRPr="00A86ACF">
        <w:t xml:space="preserve">. </w:t>
      </w:r>
      <w:r w:rsidRPr="00A86ACF">
        <w:rPr>
          <w:i w:val="0"/>
          <w:iCs/>
        </w:rPr>
        <w:t xml:space="preserve">Parameters of hierarchical linear models for several thermal traits when including all converged TPC models. All models were fitted using study </w:t>
      </w:r>
      <w:r>
        <w:rPr>
          <w:i w:val="0"/>
          <w:iCs/>
        </w:rPr>
        <w:t>(“</w:t>
      </w:r>
      <w:r w:rsidRPr="006F7337">
        <w:t>reference</w:t>
      </w:r>
      <w:r>
        <w:t>”</w:t>
      </w:r>
      <w:r w:rsidRPr="00A86ACF">
        <w:rPr>
          <w:i w:val="0"/>
          <w:iCs/>
        </w:rPr>
        <w:t xml:space="preserve">) as grouping variable applied only to the intercept. The first column reflects the across-studies average estimate of each thermal trait with its standard error. The second and third columns show the ANOVA results for comparisons among categories, and the fourth column represents the </w:t>
      </w:r>
      <m:oMath>
        <m:r>
          <w:rPr>
            <w:rFonts w:ascii="Cambria Math" w:hAnsi="Cambria Math"/>
          </w:rPr>
          <m:t>β</m:t>
        </m:r>
      </m:oMath>
      <w:r w:rsidRPr="00A86ACF">
        <w:rPr>
          <w:i w:val="0"/>
          <w:iCs/>
        </w:rPr>
        <w:t xml:space="preserve"> parameter of the hierarchical model for latitude as covariate. In all cases, </w:t>
      </w:r>
      <m:oMath>
        <m:sSup>
          <m:sSupPr>
            <m:ctrlPr>
              <w:rPr>
                <w:rFonts w:ascii="Cambria Math" w:hAnsi="Cambria Math"/>
                <w:i w:val="0"/>
                <w:iCs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6ACF">
        <w:rPr>
          <w:i w:val="0"/>
          <w:iCs/>
        </w:rPr>
        <w:t xml:space="preserve"> represents the residual variance of the hierarchical model. Note tha</w:t>
      </w:r>
      <w:r w:rsidRPr="006F7337">
        <w:rPr>
          <w:i w:val="0"/>
          <w:iCs/>
        </w:rPr>
        <w:t xml:space="preserve">t </w:t>
      </w:r>
      <m:oMath>
        <m:r>
          <m:rPr>
            <m:sty m:val="p"/>
          </m:rPr>
          <w:rPr>
            <w:rFonts w:ascii="Latin Modern Math" w:hAnsi="Latin Modern Math"/>
          </w:rPr>
          <m:t>C</m:t>
        </m:r>
        <m:sSub>
          <m:sSubPr>
            <m:ctrlPr>
              <w:rPr>
                <w:rFonts w:ascii="Latin Modern Math" w:hAnsi="Latin Modern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max</m:t>
            </m:r>
          </m:sub>
        </m:sSub>
      </m:oMath>
      <w:r w:rsidRPr="00A86ACF">
        <w:rPr>
          <w:rFonts w:eastAsiaTheme="minorEastAsia"/>
          <w:i w:val="0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tolerance</m:t>
            </m:r>
          </m:sub>
        </m:sSub>
      </m:oMath>
      <w:r w:rsidRPr="00A86ACF">
        <w:rPr>
          <w:rFonts w:eastAsiaTheme="minorEastAsia"/>
          <w:i w:val="0"/>
        </w:rPr>
        <w:t xml:space="preserve"> models are fitted to a subset of the data excluding </w:t>
      </w:r>
      <w:r w:rsidRPr="00A86ACF">
        <w:rPr>
          <w:rFonts w:eastAsiaTheme="minorEastAsia"/>
          <w:iCs/>
        </w:rPr>
        <w:t>gaussian</w:t>
      </w:r>
      <w:r w:rsidRPr="00A86ACF">
        <w:rPr>
          <w:rFonts w:eastAsiaTheme="minorEastAsia"/>
          <w:i w:val="0"/>
        </w:rPr>
        <w:t xml:space="preserve"> TPCs (see Methods).</w:t>
      </w:r>
    </w:p>
    <w:p w14:paraId="20FD1FC7" w14:textId="77777777" w:rsidR="005B4FBA" w:rsidRDefault="005B4FBA"/>
    <w:sectPr w:rsidR="005B4FBA" w:rsidSect="003E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7"/>
    <w:rsid w:val="000B4AE1"/>
    <w:rsid w:val="000C6BF7"/>
    <w:rsid w:val="00140F42"/>
    <w:rsid w:val="001E4EF0"/>
    <w:rsid w:val="002B6B1B"/>
    <w:rsid w:val="00347B20"/>
    <w:rsid w:val="003E04AB"/>
    <w:rsid w:val="004314F8"/>
    <w:rsid w:val="005B4FBA"/>
    <w:rsid w:val="0069016A"/>
    <w:rsid w:val="006B7E3A"/>
    <w:rsid w:val="006F7337"/>
    <w:rsid w:val="00833076"/>
    <w:rsid w:val="00A20B0E"/>
    <w:rsid w:val="00A36E28"/>
    <w:rsid w:val="00A66AB3"/>
    <w:rsid w:val="00EC33CB"/>
    <w:rsid w:val="00F5234C"/>
    <w:rsid w:val="00FD7C7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2F94"/>
  <w15:chartTrackingRefBased/>
  <w15:docId w15:val="{91F71EC2-C87B-4369-87AE-CFF55C31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in Modern Math" w:eastAsiaTheme="minorHAnsi" w:hAnsi="Latin Modern Math" w:cstheme="minorBidi"/>
        <w:i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37"/>
    <w:pPr>
      <w:spacing w:after="200" w:line="240" w:lineRule="auto"/>
    </w:pPr>
    <w:rPr>
      <w:rFonts w:ascii="Times New Roman" w:hAnsi="Times New Roman" w:cs="Times New Roman"/>
      <w:i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3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i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i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3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i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3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3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i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3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3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i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3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3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i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37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37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37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37"/>
    <w:pPr>
      <w:spacing w:after="80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3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i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37"/>
    <w:pPr>
      <w:spacing w:before="160" w:after="160" w:line="278" w:lineRule="auto"/>
      <w:jc w:val="center"/>
    </w:pPr>
    <w:rPr>
      <w:rFonts w:ascii="Latin Modern Math" w:hAnsi="Latin Modern Math" w:cstheme="minorBidi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37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37"/>
    <w:pPr>
      <w:spacing w:after="160" w:line="278" w:lineRule="auto"/>
      <w:ind w:left="720"/>
      <w:contextualSpacing/>
    </w:pPr>
    <w:rPr>
      <w:rFonts w:ascii="Latin Modern Math" w:hAnsi="Latin Modern Math" w:cstheme="minorBidi"/>
      <w:i/>
    </w:rPr>
  </w:style>
  <w:style w:type="character" w:styleId="IntenseEmphasis">
    <w:name w:val="Intense Emphasis"/>
    <w:basedOn w:val="DefaultParagraphFont"/>
    <w:uiPriority w:val="21"/>
    <w:qFormat/>
    <w:rsid w:val="006F7337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Latin Modern Math" w:hAnsi="Latin Modern Math" w:cstheme="minorBidi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37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37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6F7337"/>
    <w:pPr>
      <w:spacing w:before="36" w:after="36"/>
    </w:pPr>
  </w:style>
  <w:style w:type="table" w:customStyle="1" w:styleId="Table">
    <w:name w:val="Table"/>
    <w:semiHidden/>
    <w:unhideWhenUsed/>
    <w:qFormat/>
    <w:rsid w:val="006F7337"/>
    <w:pPr>
      <w:spacing w:after="200" w:line="240" w:lineRule="auto"/>
    </w:pPr>
    <w:rPr>
      <w:rFonts w:ascii="Times New Roman" w:hAnsi="Times New Roman" w:cs="Times New Roman"/>
      <w:i w:val="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6F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7337"/>
    <w:rPr>
      <w:rFonts w:ascii="Times New Roman" w:hAnsi="Times New Roman" w:cs="Times New Roman"/>
      <w:i w:val="0"/>
    </w:rPr>
  </w:style>
  <w:style w:type="character" w:customStyle="1" w:styleId="VerbatimChar">
    <w:name w:val="Verbatim Char"/>
    <w:basedOn w:val="DefaultParagraphFont"/>
    <w:link w:val="SourceCode"/>
    <w:rsid w:val="006F7337"/>
    <w:rPr>
      <w:rFonts w:ascii="Consolas" w:hAnsi="Consolas"/>
      <w:sz w:val="22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6F7337"/>
    <w:pPr>
      <w:shd w:val="clear" w:color="auto" w:fill="F1F3F5"/>
      <w:wordWrap w:val="0"/>
    </w:pPr>
    <w:rPr>
      <w:rFonts w:ascii="Consolas" w:hAnsi="Consolas" w:cstheme="minorBidi"/>
      <w:i/>
      <w:sz w:val="22"/>
    </w:rPr>
  </w:style>
  <w:style w:type="paragraph" w:customStyle="1" w:styleId="TableCaption">
    <w:name w:val="Table Caption"/>
    <w:basedOn w:val="Caption"/>
    <w:rsid w:val="006F7337"/>
    <w:pPr>
      <w:keepNext/>
      <w:spacing w:after="120"/>
    </w:pPr>
    <w:rPr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337"/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2025-05-19T10:50:00Z</dcterms:created>
  <dcterms:modified xsi:type="dcterms:W3CDTF">2025-05-19T10:53:00Z</dcterms:modified>
</cp:coreProperties>
</file>