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einLeerraum"/>
        <w:rPr>
          <w:b/>
          <w:bCs/>
        </w:rPr>
      </w:pPr>
      <w:r>
        <w:rPr>
          <w:b/>
          <w:bCs/>
        </w:rPr>
        <w:t>35. Förderkreis des Museums für Glaskunst Lauscha e.V.</w:t>
      </w:r>
    </w:p>
    <w:p>
      <w:pPr>
        <w:pStyle w:val="KeinLeerraum"/>
        <w:rPr>
          <w:b/>
          <w:bCs/>
        </w:rPr>
      </w:pPr>
      <w:r>
        <w:rPr>
          <w:b/>
          <w:bCs/>
        </w:rPr>
        <w:t xml:space="preserve"> </w:t>
      </w:r>
    </w:p>
    <w:p>
      <w:pPr>
        <w:pStyle w:val="KeinLeerraum"/>
        <w:spacing/>
        <w:jc w:val="both"/>
      </w:pPr>
      <w:r>
        <w:t>Der „Förderkreis des Museums für Glaskunst Lauscha e.V.“ wurde 1991 gegründet. Zu den Gründern gehörten z.B. der 2011 verstorbene Museumsdirektor Obermuseumsrat Rudolf Hoffmann, der</w:t>
      </w:r>
    </w:p>
    <w:p>
      <w:pPr>
        <w:pStyle w:val="KeinLeerraum"/>
        <w:spacing/>
        <w:jc w:val="both"/>
      </w:pPr>
      <w:r>
        <w:t>Unternehmer und Glashüttenbesitzer Carl August Heinz aus Tettau sowie die Riege namhafter Glasgestalter aus Lauscha.</w:t>
      </w:r>
    </w:p>
    <w:p>
      <w:pPr>
        <w:pStyle w:val="KeinLeerraum"/>
        <w:spacing/>
        <w:jc w:val="both"/>
      </w:pPr>
      <w:r>
        <w:t>Aufgaben und Projekte in all den Jahren gestalteten sich sehr umfangreich und arbeitsaufwendig.</w:t>
      </w:r>
    </w:p>
    <w:p>
      <w:pPr>
        <w:pStyle w:val="KeinLeerraum"/>
        <w:spacing/>
        <w:jc w:val="both"/>
      </w:pPr>
      <w:r>
        <w:t>Bedeutende Ereignisse waren die zwei Internationalen Glassymposien nach der Wende in Zusammenarbeit mit der Farbglashütte Lauscha und die Gesamtschau “50 Jahre Studioglas“ im Museum für Glaskunst und den Schaufenstern des gesamten Stadtbildes von Lauscha mit der Herausgabe des beeindruckenden und sehr informativen gleichnamigen Buches.</w:t>
      </w:r>
    </w:p>
    <w:p>
      <w:pPr>
        <w:pStyle w:val="KeinLeerraum"/>
        <w:spacing/>
        <w:jc w:val="both"/>
      </w:pPr>
      <w:r>
        <w:t>Ein kleiner aber harter Kern von treuen Mitstreitern um Susanne Precht bewerkstelligte in jener Zeit Großes. Ihnen oblag das gesamte Spektrum von der Ideenfindung über Einladungen, Geldbeschaffung und -abrechnung, Schriftverkehr, Herausgabe, Verkauf und Versandt des Buches und der einschlägigen Flyer zur Veranstaltung, die Beschaffung und Verwaltung eines Bürgerarbeitsplatzes ebenso wie die der früheren SAM (Struktur-Anpassungs-Maßnahmen)-und ABM (Arbeits-Beschaffungs-Maßnahmen)-Stellen. Hinzu kam die Gestaltung von Ausstellungen und diversen Druckerzeugnissen, der Auf- und Abbau von Ausstellungen zu den Symposien und beinahe sämtliche Öffentlichkeitsarbeit.</w:t>
      </w:r>
    </w:p>
    <w:p>
      <w:pPr>
        <w:pStyle w:val="KeinLeerraum"/>
        <w:spacing/>
        <w:jc w:val="both"/>
      </w:pPr>
      <w:r>
        <w:t>Allein von 2013 bis 2016 flossen ca. 35.000 € Spendengelder und Fördermittel über den Verein in die Förderung des Museums. Darin enthalten ist die große Ausstellung „50 Jahre Studioglas“ mit entsprechender Publikation, Ankäufen zur Ergänzung der Sammlung, der Internet-Auftritt des Museums, die Ergänzung der technischen Ausrüstung und letztlich auch das dringend notwendige neue Faltblatt.</w:t>
      </w:r>
    </w:p>
    <w:p>
      <w:pPr>
        <w:pStyle w:val="KeinLeerraum"/>
        <w:spacing/>
        <w:jc w:val="both"/>
      </w:pPr>
      <w:r>
        <w:t>Insgesamt sind zigtausende DM und Euro an öffentlichen Fördergeldern und private Spenden in die Gesamtheit der Projekte eingeflossen. Das alles wurde natürlich in den entsprechenden Kostenplänen dokumentiert.  Nach dem Umzug des Museums in seine neuen Räume in der Farbglashütte wurde beraten, welche Aktivitäten nun benötigt werden. Es sollte ein neuer Museumsführer entstehen, da die vorhergehenden Bücher der Museumsleiter  OMuR Hoffmann und  Helena Horn schon lange ausverkauft sind. Bei diesen anspruchsvollen Vorhaben wirkten besonders Ilona Knye aus Lauscha, Volkmar Schorcht von Jena aus und Ulrich Precht mit. Auch die Beauftragte von Heinz-Glas Tettau Frau Ute Schaller ist immer für Beratungen zur Stelle.</w:t>
      </w:r>
    </w:p>
    <w:p>
      <w:pPr>
        <w:pStyle w:val="KeinLeerraum"/>
        <w:spacing/>
        <w:jc w:val="both"/>
      </w:pPr>
      <w:r>
        <w:t>Leider ist der Museumsführer noch nicht entstanden, obwohl schon umfangreiche Vorarbeiten z. Beispiel von Uwe Claassen und der jetzigen Museumleiterin Anja Fölsche, dem Designer Mirko Albrecht und Susanne Precht  geleistet worden sind.</w:t>
      </w:r>
    </w:p>
    <w:p>
      <w:pPr>
        <w:pStyle w:val="KeinLeerraum"/>
        <w:spacing/>
        <w:jc w:val="both"/>
      </w:pPr>
      <w:r>
        <w:t xml:space="preserve">Letztlich reichte das Geld nicht aus, da vor allem die Thüringer Staatskanzlei kein Fördergeld zusagte. Schade, aber der nächste Anlauf kommt bestimmt. Mit Henry Knye an der Spitze seit 2020,  können die Aufgaben nun besser verteilt werden. Auch Bürgermeister Zitzmann hat immer ein offenes Ohr für die Belange des Vereins. Das Museum für Glaskunst gehört der Stadt Lauscha und benötigt jederzeit finanzielle Hilfe und fachliche Beratung. </w:t>
      </w:r>
    </w:p>
    <w:p>
      <w:pPr>
        <w:pStyle w:val="KeinLeerraum"/>
        <w:spacing/>
        <w:jc w:val="both"/>
      </w:pPr>
      <w:r>
        <w:t>Im Jahr 2021 gehören dem Verein nur etwa noch 30 Mitglieder an, es sind also leider viel weniger geworden.  Wünschenswert wäre, dass sich das Gros der hier ansässigen Kunstglasbläser und Glasgestalter aller Genres in den Verein einbringt, zumal das Museum für Glaskunst Lauscha deren eigene Geschichte sehr anschaulich widerspiegelt.</w:t>
      </w:r>
    </w:p>
    <w:p>
      <w:pPr>
        <w:pStyle w:val="KeinLeerraum"/>
        <w:spacing/>
        <w:jc w:val="both"/>
      </w:pPr>
      <w:r>
        <w:t xml:space="preserve">Einige, den Verein nach wie vor tragende Mitglieder, leben weit entfernt von hier und sehr viele Gründungsmitglieder sind inzwischen verstorben. </w:t>
      </w:r>
    </w:p>
    <w:p>
      <w:pPr>
        <w:pStyle w:val="KeinLeerraum"/>
        <w:spacing/>
        <w:jc w:val="both"/>
      </w:pPr>
      <w:r>
        <w:t xml:space="preserve">Es gibt viele lohnenswerte und interessante ehrenamtliche Aufgaben, überall und auch in Lauscha. Nicht ganz leicht ist es bekanntlich, für so eine nach außen “trocken“ erscheinende, aber eigentlich wirklich interessante Vereinsarbeit Mitstreiter zu finden. Eine Frage steht dabei immer im Raum: Welche Ziele strebt der Verein an, wird er noch gebraucht. Die rasante Entwicklung gesellschaftlicher Verhältnisse und die permanente Notwendigkeit, die historischen Leistungen Lauschaer Glasbläser und Glasgestalter nicht in Vergessenheit geraten zu lassen, schafft reiche Betätigungsfelder für den Förderkreis des Museums für Glaskunst Lauscha. </w:t>
      </w:r>
    </w:p>
    <w:p>
      <w:pPr>
        <w:pStyle w:val="KeinLeerraum"/>
        <w:spacing/>
        <w:jc w:val="both"/>
      </w:pPr>
      <w:r>
        <w:t>Angesichts des Eintrags des Lauschaer Christbaumschmucks in das Bundesweite Verzeichnis des Immateriellen Kulturerbes im März 2021 und der darauffolgenden Umgestaltung des Museums gewinnt dieses zunehmend an nationaler und internationaler Bedeutung. Dieser Errungenschaft wird auch der Förderkreis mit seinen Möglichkeiten Nachdruck verleihen.</w:t>
      </w:r>
    </w:p>
    <w:p>
      <w:pPr>
        <w:pStyle w:val="KeinLeerraum"/>
        <w:spacing/>
        <w:jc w:val="both"/>
      </w:pPr>
      <w:r>
        <w:t>Das heißt: Das Museum braucht - heute wie gestern - Unterstützer aus dem ehrenamtlichen Bereich.</w:t>
      </w:r>
    </w:p>
    <w:p>
      <w:pPr>
        <w:pStyle w:val="KeinLeerraum"/>
        <w:spacing/>
        <w:jc w:val="both"/>
      </w:pPr>
      <w:r>
        <w:t xml:space="preserve"> </w:t>
      </w:r>
    </w:p>
    <w:p>
      <w:pPr>
        <w:pStyle w:val="KeinLeerraum"/>
        <w:spacing/>
        <w:jc w:val="both"/>
      </w:pPr>
      <w:r/>
    </w:p>
    <w:sectPr>
      <w:footnotePr>
        <w:pos w:val="pageBottom"/>
        <w:numFmt w:val="decimal"/>
        <w:numStart w:val="1"/>
        <w:numRestart w:val="continuous"/>
      </w:footnotePr>
      <w:endnotePr>
        <w:pos w:val="docEnd"/>
        <w:numFmt w:val="decimal"/>
        <w:numStart w:val="1"/>
        <w:numRestart w:val="continuous"/>
      </w:endnotePr>
      <w:type w:val="nextPage"/>
      <w:pgSz w:h="16838" w:w="11906"/>
      <w:pgMar w:left="1417" w:top="1134" w:right="1417" w:bottom="1134"/>
      <w:paperSrc w:first="0" w:other="0"/>
      <w:tmSection w:h="-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Calibri">
    <w:panose1 w:val="020F0502020204030204"/>
    <w:charset w:val="00"/>
    <w:family w:val="swiss"/>
    <w:pitch w:val="default"/>
  </w:font>
  <w:font w:name="Cambria">
    <w:panose1 w:val="0204050305040603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view w:val="print"/>
  <w:defaultTabStop w:val="708"/>
  <w:autoHyphenation w:val="0"/>
  <w:doNotShadeFormData w:val="0"/>
  <w:captions>
    <w:caption w:name="Tabelle" w:pos="below" w:numFmt="decimal"/>
    <w:caption w:name="Abbildung" w:pos="below" w:numFmt="decimal"/>
    <w:caption w:name="Grafik"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shapeDefaults>
    <o:shapedefaults v:ext="edit" spidmax="1026"/>
    <o:shapelayout v:ext="edit">
      <o:rules v:ext="edit"/>
    </o:shapelayout>
  </w:shapeDefaults>
  <w:tmPrefOne w:val="17"/>
  <w:tmPrefTwo w:val="1"/>
  <w:tmFmtPref w:val="55065963"/>
  <w:tmCommentsPr>
    <w:tmCommentsPlace w:val="0"/>
    <w:tmCommentsWidth w:val="3119"/>
    <w:tmCommentsColor w:val="-1"/>
  </w:tmCommentsPr>
  <w:tmReviewPr>
    <w:tmReviewEnabled w:val="0"/>
    <w:tmReviewShow w:val="1"/>
    <w:tmReviewPrint w:val="0"/>
    <w:tmRevisionNum w:val="4"/>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3"/>
      <w:tmLastPosIdx w:val="13"/>
    </w:tmLastPosCaret>
    <w:tmLastPosAnchor>
      <w:tmLastPosPgfIdx w:val="0"/>
      <w:tmLastPosIdx w:val="0"/>
    </w:tmLastPosAnchor>
    <w:tmLastPosTblRect w:left="0" w:top="0" w:right="0" w:bottom="0"/>
    <w:tmAppRevision w:date="1639081063" w:val="702"/>
  </w:tmLastPo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Times New Roman"/>
        <w:sz w:val="22"/>
        <w:szCs w:val="22"/>
        <w:lang w:val="de-de"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Normal" w:default="1">
    <w:name w:val="Normal"/>
    <w:qFormat/>
  </w:style>
  <w:style w:type="paragraph" w:styleId="KeinLeerraum">
    <w:name w:val="No Spacing"/>
    <w:qFormat/>
    <w:pPr>
      <w:spacing w:after="0" w:line="240" w:lineRule="auto"/>
    </w:pPr>
  </w:style>
  <w:style w:type="character" w:styleId="Absatz-Standardschriftart" w:default="1">
    <w:name w:val="Default Paragraph Font"/>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docDefaults>
    <w:rPrDefault>
      <w:rPr>
        <w:rFonts w:ascii="Calibri" w:hAnsi="Calibri" w:eastAsia="Calibri" w:cs="Times New Roman"/>
        <w:sz w:val="22"/>
        <w:szCs w:val="22"/>
        <w:lang w:val="de-de"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atentStyles>
  <w:style w:type="paragraph" w:styleId="Normal" w:default="1">
    <w:name w:val="Normal"/>
    <w:qFormat/>
  </w:style>
  <w:style w:type="paragraph" w:styleId="KeinLeerraum">
    <w:name w:val="No Spacing"/>
    <w:qFormat/>
    <w:pPr>
      <w:spacing w:after="0" w:line="240" w:lineRule="auto"/>
    </w:pPr>
  </w:style>
  <w:style w:type="character" w:styleId="Absatz-Standardschriftart" w:default="1">
    <w:name w:val="Default Paragraph Fon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TextMaker 2012 rev.702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Jürgen Müller-Blech</dc:creator>
  <cp:keywords/>
  <dc:description/>
  <cp:lastModifiedBy>Susanne Precht</cp:lastModifiedBy>
  <cp:revision>4</cp:revision>
  <cp:lastPrinted>2021-12-09T11:19:00Z</cp:lastPrinted>
  <dcterms:created xsi:type="dcterms:W3CDTF">2021-12-09T14:24:00Z</dcterms:created>
  <dcterms:modified xsi:type="dcterms:W3CDTF">2021-12-09T21:17:43Z</dcterms:modified>
</cp:coreProperties>
</file>