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ROXB660927MCHDXR01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ROBE660927K5A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DEL SOL NACIENTE  105 FRACC. VILLAS DEL SOL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6181540092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481004A0380300.0200009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39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10FUA0039Z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071004A0380300.0200009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10FUA0039Z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SECRETARIO(A)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SECRETARIA DE APOYO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481004A0380300.0200009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DEE/1234/2025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BERTHA ADRIANA  RODRIGUEZ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ROBE660927K5A,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481004A0380300.0200009,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SECRETARIA DE APOYO, le notifico que a partir de esta fecha deberá presentarse en el USAER No. 39 con clave de centro de trabajo 10FUA0039Z, turno Matutino con sede en MARCACITA Y AGUAMARINA S/N FRACC. JOYAS DEL VALLE, DURANGO, DGO., donde desempeñará las funciones de SECRETARIO(A).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BERTHA ADRIANA  RODRIGUEZ CON EFECTOS DEL 30/09/2025 AL 11/10/2025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ROSA ELIA CARRILLO AVILA.-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BERTHA ADRIANA  RODRIGUEZ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