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1513869fd77883ac4865df2caaf65cf646a32a"/>
    <w:p>
      <w:pPr>
        <w:pStyle w:val="Heading2"/>
      </w:pPr>
      <w:r>
        <w:t xml:space="preserve">Dossier d’Architecture Technique et de Sécurité (DATS)</w:t>
      </w:r>
    </w:p>
    <w:p>
      <w:pPr>
        <w:pStyle w:val="FirstParagraph"/>
      </w:pPr>
      <w:r>
        <w:rPr>
          <w:b/>
          <w:bCs/>
        </w:rPr>
        <w:t xml:space="preserve">Projet :</w:t>
      </w:r>
      <w:r>
        <w:t xml:space="preserve"> </w:t>
      </w:r>
      <w:r>
        <w:t xml:space="preserve">MacroscopiX</w:t>
      </w:r>
      <w:r>
        <w:br/>
      </w:r>
      <w:r>
        <w:rPr>
          <w:b/>
          <w:bCs/>
        </w:rPr>
        <w:t xml:space="preserve">Version :</w:t>
      </w:r>
      <w:r>
        <w:t xml:space="preserve"> </w:t>
      </w:r>
      <w:r>
        <w:t xml:space="preserve">2.5 (Production)</w:t>
      </w:r>
      <w:r>
        <w:br/>
      </w:r>
      <w:r>
        <w:rPr>
          <w:b/>
          <w:bCs/>
        </w:rPr>
        <w:t xml:space="preserve">Date :</w:t>
      </w:r>
      <w:r>
        <w:t xml:space="preserve"> </w:t>
      </w:r>
      <w:r>
        <w:t xml:space="preserve">11 octobre 2026</w:t>
      </w:r>
      <w:r>
        <w:br/>
      </w:r>
      <w:r>
        <w:rPr>
          <w:b/>
          <w:bCs/>
        </w:rPr>
        <w:t xml:space="preserve">Confidentialité :</w:t>
      </w:r>
      <w:r>
        <w:t xml:space="preserve"> </w:t>
      </w:r>
      <w:r>
        <w:t xml:space="preserve">Interne / Diffusion restreinte – DSI / RSSI CHU</w:t>
      </w:r>
    </w:p>
    <w:p>
      <w:r>
        <w:pict>
          <v:rect style="width:0;height:1.5pt" o:hralign="center" o:hrstd="t" o:hr="t"/>
        </w:pict>
      </w:r>
    </w:p>
    <w:bookmarkEnd w:id="9"/>
    <w:bookmarkStart w:id="17" w:name="présentation-de-la-solution"/>
    <w:p>
      <w:pPr>
        <w:pStyle w:val="Heading2"/>
      </w:pPr>
      <w:r>
        <w:t xml:space="preserve">1. Présentation de la solution</w:t>
      </w:r>
    </w:p>
    <w:p>
      <w:pPr>
        <w:pStyle w:val="FirstParagraph"/>
      </w:pPr>
      <w:r>
        <w:t xml:space="preserve">MacroscopiX est une solution mobile sécurisée permettant l’acquisition et</w:t>
      </w:r>
      <w:r>
        <w:t xml:space="preserve"> </w:t>
      </w:r>
      <w:r>
        <w:t xml:space="preserve">le transfert de données médicales macroscopiques (photographies haute résolution,</w:t>
      </w:r>
      <w:r>
        <w:t xml:space="preserve"> </w:t>
      </w:r>
      <w:r>
        <w:t xml:space="preserve">dictées vocales / comptes-rendus audio, et numérisations de documents / fiches de demande PDF)</w:t>
      </w:r>
      <w:r>
        <w:t xml:space="preserve"> </w:t>
      </w:r>
      <w:r>
        <w:t xml:space="preserve">depuis un smartphone vers le Système d’Information Hospitalier (SIH),</w:t>
      </w:r>
      <w:r>
        <w:t xml:space="preserve"> </w:t>
      </w:r>
      <w:r>
        <w:t xml:space="preserve">sans persistance des données sur le terminal (02_Audit_Mobile.md).</w:t>
      </w:r>
    </w:p>
    <w:p>
      <w:pPr>
        <w:pStyle w:val="BodyText"/>
      </w:pPr>
      <w:r>
        <w:t xml:space="preserve">La solution s’inscrit dans un cadre institutionnel maîtrisé, conforme</w:t>
      </w:r>
      <w:r>
        <w:t xml:space="preserve"> </w:t>
      </w:r>
      <w:r>
        <w:t xml:space="preserve">aux exigences HDS et RGPD, et vise à encadrer des usages terrain</w:t>
      </w:r>
      <w:r>
        <w:t xml:space="preserve"> </w:t>
      </w:r>
      <w:r>
        <w:t xml:space="preserve">existants en les sécurisant.</w:t>
      </w:r>
    </w:p>
    <w:bookmarkStart w:id="10" w:name="X9f40f05157039354d666b9965e0cbfff6aaa05a"/>
    <w:p>
      <w:pPr>
        <w:pStyle w:val="Heading3"/>
      </w:pPr>
      <w:r>
        <w:t xml:space="preserve">1.1 Enrôlement et identification des terminaux</w:t>
      </w:r>
    </w:p>
    <w:p>
      <w:pPr>
        <w:pStyle w:val="FirstParagraph"/>
      </w:pPr>
      <w:r>
        <w:t xml:space="preserve">Avant toute utilisation, l’application MacroscopiX, signée et distribuée</w:t>
      </w:r>
      <w:r>
        <w:t xml:space="preserve"> </w:t>
      </w:r>
      <w:r>
        <w:t xml:space="preserve">via le Google Play Store, fait l’objet d’un processus d’enrôlement</w:t>
      </w:r>
      <w:r>
        <w:t xml:space="preserve"> </w:t>
      </w:r>
      <w:r>
        <w:t xml:space="preserve">contrôlé permettant d’identifier, d’autoriser et de tracer les terminaux</w:t>
      </w:r>
      <w:r>
        <w:t xml:space="preserve"> </w:t>
      </w:r>
      <w:r>
        <w:t xml:space="preserve">habilités à capturer des données médicales.</w:t>
      </w:r>
    </w:p>
    <w:p>
      <w:pPr>
        <w:numPr>
          <w:ilvl w:val="0"/>
          <w:numId w:val="1001"/>
        </w:numPr>
      </w:pPr>
      <w:r>
        <w:t xml:space="preserve">L’établissement désigne</w:t>
      </w:r>
      <w:r>
        <w:t xml:space="preserve"> </w:t>
      </w:r>
      <w:r>
        <w:rPr>
          <w:b/>
          <w:bCs/>
        </w:rPr>
        <w:t xml:space="preserve">un ou plusieurs référents d’enrôlement</w:t>
      </w:r>
      <w:r>
        <w:t xml:space="preserve"> </w:t>
      </w:r>
      <w:r>
        <w:t xml:space="preserve">(ex. cadre de santé, responsable de secteur, référent informatique).</w:t>
      </w:r>
    </w:p>
    <w:p>
      <w:pPr>
        <w:numPr>
          <w:ilvl w:val="0"/>
          <w:numId w:val="1001"/>
        </w:numPr>
      </w:pPr>
      <w:r>
        <w:t xml:space="preserve">Pour chaque référent, une</w:t>
      </w:r>
      <w:r>
        <w:t xml:space="preserve"> </w:t>
      </w:r>
      <w:r>
        <w:rPr>
          <w:b/>
          <w:bCs/>
        </w:rPr>
        <w:t xml:space="preserve">adresse email institutionnelle</w:t>
      </w:r>
      <w:r>
        <w:rPr>
          <w:b/>
          <w:bCs/>
        </w:rPr>
        <w:t xml:space="preserve"> </w:t>
      </w:r>
      <w:r>
        <w:rPr>
          <w:b/>
          <w:bCs/>
        </w:rPr>
        <w:t xml:space="preserve">nominative</w:t>
      </w:r>
      <w:r>
        <w:t xml:space="preserve"> </w:t>
      </w:r>
      <w:r>
        <w:t xml:space="preserve">est communiquée lors de la mise en service.</w:t>
      </w:r>
    </w:p>
    <w:p>
      <w:pPr>
        <w:numPr>
          <w:ilvl w:val="0"/>
          <w:numId w:val="1001"/>
        </w:numPr>
      </w:pPr>
      <w:r>
        <w:t xml:space="preserve">Les référents sont habilités à :</w:t>
      </w:r>
    </w:p>
    <w:p>
      <w:pPr>
        <w:pStyle w:val="Compact"/>
        <w:numPr>
          <w:ilvl w:val="1"/>
          <w:numId w:val="1002"/>
        </w:numPr>
      </w:pPr>
      <w:r>
        <w:t xml:space="preserve">initier l’enrôlement d’un terminal mobile,</w:t>
      </w:r>
    </w:p>
    <w:p>
      <w:pPr>
        <w:pStyle w:val="Compact"/>
        <w:numPr>
          <w:ilvl w:val="1"/>
          <w:numId w:val="1002"/>
        </w:numPr>
      </w:pPr>
      <w:r>
        <w:t xml:space="preserve">valider l’association entre un terminal et l’établissement.</w:t>
      </w:r>
    </w:p>
    <w:p>
      <w:pPr>
        <w:pStyle w:val="FirstParagraph"/>
      </w:pPr>
      <w:r>
        <w:t xml:space="preserve">Le processus d’enrôlement repose sur une authentification forte (OTP à 6 chiffres</w:t>
      </w:r>
      <w:r>
        <w:t xml:space="preserve"> </w:t>
      </w:r>
      <w:r>
        <w:t xml:space="preserve">valable 15 minutes) et permet de générer un identifiant technique unique pour chaque terminal,</w:t>
      </w:r>
      <w:r>
        <w:t xml:space="preserve"> </w:t>
      </w:r>
      <w:r>
        <w:t xml:space="preserve">associé à un jeton d’authentification délivré via l’API dédiée</w:t>
      </w:r>
      <w:r>
        <w:t xml:space="preserve"> </w:t>
      </w:r>
      <w:r>
        <w:t xml:space="preserve">(03_Audit_API.md, 04_Audit_Admin.md).</w:t>
      </w:r>
    </w:p>
    <w:p>
      <w:pPr>
        <w:pStyle w:val="BodyText"/>
      </w:pPr>
      <w:r>
        <w:t xml:space="preserve">Cet identifiant est utilisé pour :</w:t>
      </w:r>
      <w:r>
        <w:t xml:space="preserve"> </w:t>
      </w:r>
      <w:r>
        <w:t xml:space="preserve">- l’authentification de l’application,</w:t>
      </w:r>
      <w:r>
        <w:t xml:space="preserve"> </w:t>
      </w:r>
      <w:r>
        <w:t xml:space="preserve">- le contrôle d’accès aux flux de données de santé (liaison matérielle stricte Device UUID / Organisation).</w:t>
      </w:r>
    </w:p>
    <w:bookmarkEnd w:id="10"/>
    <w:bookmarkStart w:id="12" w:name="X7ad2acdcfe79b528030858ba730215385622b63"/>
    <w:p>
      <w:pPr>
        <w:pStyle w:val="Heading3"/>
      </w:pPr>
      <w:r>
        <w:t xml:space="preserve">1.2 Cycle de vie et Procédure de Révocation des Terminaux</w:t>
      </w:r>
    </w:p>
    <w:p>
      <w:pPr>
        <w:pStyle w:val="FirstParagraph"/>
      </w:pPr>
      <w:r>
        <w:t xml:space="preserve">La maîtrise de la flotte mobile et du parc BYOD impose des mécanismes de révocation instantanés et déterministes. MacroscopiX prend en compte tous les scénarios de rupture d’habilitation :</w:t>
      </w:r>
    </w:p>
    <w:bookmarkStart w:id="11" w:name="Xa8f8969dd575c10375e435e48cc403329a3fc30"/>
    <w:p>
      <w:pPr>
        <w:pStyle w:val="Heading4"/>
      </w:pPr>
      <w:r>
        <w:t xml:space="preserve">Scénarios de Révocation et Réponses du Système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Perte, Vol ou Compromission du Terminal 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Action Référent / Administrateur :</w:t>
      </w:r>
      <w:r>
        <w:t xml:space="preserve"> </w:t>
      </w:r>
      <w:r>
        <w:t xml:space="preserve">Depuis la console d’administration (</w:t>
      </w:r>
      <w:r>
        <w:rPr>
          <w:rStyle w:val="VerbatimChar"/>
        </w:rPr>
        <w:t xml:space="preserve">admin.macroscopix.fr</w:t>
      </w:r>
      <w:r>
        <w:t xml:space="preserve">) ou via l’API sécurisée (</w:t>
      </w:r>
      <w:r>
        <w:rPr>
          <w:rStyle w:val="VerbatimChar"/>
        </w:rPr>
        <w:t xml:space="preserve">DELETE /terminals/{uuid}</w:t>
      </w:r>
      <w:r>
        <w:t xml:space="preserve">), l’administrateur technique révoque le terminal en un clic.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Effet Serveur Immédiat :</w:t>
      </w:r>
      <w:r>
        <w:t xml:space="preserve"> </w:t>
      </w:r>
      <w:r>
        <w:t xml:space="preserve">Le</w:t>
      </w:r>
      <w:r>
        <w:t xml:space="preserve"> </w:t>
      </w:r>
      <w:r>
        <w:rPr>
          <w:rStyle w:val="VerbatimChar"/>
        </w:rPr>
        <w:t xml:space="preserve">terminal_secret</w:t>
      </w:r>
      <w:r>
        <w:t xml:space="preserve"> </w:t>
      </w:r>
      <w:r>
        <w:t xml:space="preserve">(Bearer Token) est purgé de la table des terminaux autorisés et son statut bascule à inactif.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Blocage des Flux :</w:t>
      </w:r>
      <w:r>
        <w:t xml:space="preserve"> </w:t>
      </w:r>
      <w:r>
        <w:t xml:space="preserve">Toute tentative d’authentification (</w:t>
      </w:r>
      <w:r>
        <w:rPr>
          <w:rStyle w:val="VerbatimChar"/>
        </w:rPr>
        <w:t xml:space="preserve">/check-auth</w:t>
      </w:r>
      <w:r>
        <w:t xml:space="preserve">) ou de journalisation (</w:t>
      </w:r>
      <w:r>
        <w:rPr>
          <w:rStyle w:val="VerbatimChar"/>
        </w:rPr>
        <w:t xml:space="preserve">/log-transfer</w:t>
      </w:r>
      <w:r>
        <w:t xml:space="preserve">) est immédiatement rejetée avec une erreur</w:t>
      </w:r>
      <w:r>
        <w:t xml:space="preserve"> </w:t>
      </w:r>
      <w:r>
        <w:rPr>
          <w:b/>
          <w:bCs/>
        </w:rPr>
        <w:t xml:space="preserve">HTTP 401 Unauthorized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Dissociation Matérielle :</w:t>
      </w:r>
      <w:r>
        <w:t xml:space="preserve"> </w:t>
      </w:r>
      <w:r>
        <w:t xml:space="preserve">L’association entre le</w:t>
      </w:r>
      <w:r>
        <w:t xml:space="preserve"> </w:t>
      </w:r>
      <w:r>
        <w:rPr>
          <w:rStyle w:val="VerbatimChar"/>
        </w:rPr>
        <w:t xml:space="preserve">device_uuid</w:t>
      </w:r>
      <w:r>
        <w:t xml:space="preserve"> </w:t>
      </w:r>
      <w:r>
        <w:t xml:space="preserve">matériel et l’établissement est rompue, libérant instantanément le slot de licence de l’organisation (</w:t>
      </w:r>
      <w:r>
        <w:rPr>
          <w:rStyle w:val="VerbatimChar"/>
        </w:rPr>
        <w:t xml:space="preserve">max_slots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Protection des Données :</w:t>
      </w:r>
      <w:r>
        <w:t xml:space="preserve"> </w:t>
      </w:r>
      <w:r>
        <w:t xml:space="preserve">En vertu du principe de</w:t>
      </w:r>
      <w:r>
        <w:t xml:space="preserve"> </w:t>
      </w:r>
      <w:r>
        <w:rPr>
          <w:b/>
          <w:bCs/>
        </w:rPr>
        <w:t xml:space="preserve">Zéro Persistance</w:t>
      </w:r>
      <w:r>
        <w:t xml:space="preserve">, aucun cliché, dictée ou document médical ne réside sur le stockage interne ou dans la galerie du téléphone égaré.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Désinstallation ou Réinitialisation par l’Utilisateur 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Côté Terminal Mobile :</w:t>
      </w:r>
      <w:r>
        <w:t xml:space="preserve"> </w:t>
      </w:r>
      <w:r>
        <w:t xml:space="preserve">La désinstallation de l’application détruit définitivement les clés privées et secrets d’accès logés dans le</w:t>
      </w:r>
      <w:r>
        <w:t xml:space="preserve"> </w:t>
      </w:r>
      <w:r>
        <w:rPr>
          <w:b/>
          <w:bCs/>
        </w:rPr>
        <w:t xml:space="preserve">Keystore Android</w:t>
      </w:r>
      <w:r>
        <w:t xml:space="preserve"> </w:t>
      </w:r>
      <w:r>
        <w:t xml:space="preserve">sécurisé.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Révocation Volontaire (Déconnexion de l’App) :</w:t>
      </w:r>
      <w:r>
        <w:t xml:space="preserve"> </w:t>
      </w:r>
      <w:r>
        <w:t xml:space="preserve">L’application dispose d’un bouton de déconnexion / désenrôlement explicite appelant la route</w:t>
      </w:r>
      <w:r>
        <w:t xml:space="preserve"> </w:t>
      </w:r>
      <w:r>
        <w:rPr>
          <w:rStyle w:val="VerbatimChar"/>
        </w:rPr>
        <w:t xml:space="preserve">/revoke-terminal</w:t>
      </w:r>
      <w:r>
        <w:t xml:space="preserve"> </w:t>
      </w:r>
      <w:r>
        <w:t xml:space="preserve">(avec en-tête</w:t>
      </w:r>
      <w:r>
        <w:t xml:space="preserve"> </w:t>
      </w:r>
      <w:r>
        <w:rPr>
          <w:rStyle w:val="VerbatimChar"/>
        </w:rPr>
        <w:t xml:space="preserve">Authorization: Bearer &lt;secret&gt;</w:t>
      </w:r>
      <w:r>
        <w:t xml:space="preserve">). Le secret de session est instantanément invalidé en base centrale et le cache sandbox local est intégralement purgé.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Renouvellement d’Appareil / Ré-enrôlement :</w:t>
      </w:r>
    </w:p>
    <w:p>
      <w:pPr>
        <w:pStyle w:val="Compact"/>
        <w:numPr>
          <w:ilvl w:val="1"/>
          <w:numId w:val="1006"/>
        </w:numPr>
      </w:pPr>
      <w:r>
        <w:t xml:space="preserve">Si un utilisateur change de smartphone ou le réinitialise (générant un nouvel UUID), un nouvel OTP envoyé à l’adresse institutionnelle nominative du référent est requis pour valider le nouveau couple matériel.</w:t>
      </w:r>
    </w:p>
    <w:p>
      <w:pPr>
        <w:pStyle w:val="Compact"/>
        <w:numPr>
          <w:ilvl w:val="1"/>
          <w:numId w:val="1006"/>
        </w:numPr>
      </w:pPr>
      <w:r>
        <w:t xml:space="preserve">L’ancien terminal peut être soit écrasé proprement via le même nom d’équipement (</w:t>
      </w:r>
      <w:r>
        <w:rPr>
          <w:rStyle w:val="VerbatimChar"/>
        </w:rPr>
        <w:t xml:space="preserve">friendly_name</w:t>
      </w:r>
      <w:r>
        <w:t xml:space="preserve">), soit révoqué préalablement pour libérer le quota de licences.</w:t>
      </w:r>
    </w:p>
    <w:bookmarkEnd w:id="11"/>
    <w:bookmarkEnd w:id="12"/>
    <w:bookmarkStart w:id="13" w:name="byod-et-mobilité-sécurisée"/>
    <w:p>
      <w:pPr>
        <w:pStyle w:val="Heading3"/>
      </w:pPr>
      <w:r>
        <w:t xml:space="preserve">1.3 BYOD et Mobilité Sécurisée</w:t>
      </w:r>
    </w:p>
    <w:p>
      <w:pPr>
        <w:pStyle w:val="FirstParagraph"/>
      </w:pPr>
      <w:r>
        <w:t xml:space="preserve">L’application MacroscopiX a été conçue pour un accès BYOD (Bring Your</w:t>
      </w:r>
      <w:r>
        <w:t xml:space="preserve"> </w:t>
      </w:r>
      <w:r>
        <w:t xml:space="preserve">Own Device) lorsque cela est compatible avec la politique du Système</w:t>
      </w:r>
      <w:r>
        <w:t xml:space="preserve"> </w:t>
      </w:r>
      <w:r>
        <w:t xml:space="preserve">d’Information de l’établissement via 4G/5G ou réseau Wi-Fi dédié. Les conditions sont les</w:t>
      </w:r>
      <w:r>
        <w:t xml:space="preserve"> </w:t>
      </w:r>
      <w:r>
        <w:t xml:space="preserve">suivantes :</w:t>
      </w:r>
    </w:p>
    <w:p>
      <w:pPr>
        <w:numPr>
          <w:ilvl w:val="0"/>
          <w:numId w:val="1007"/>
        </w:numPr>
      </w:pPr>
      <w:r>
        <w:t xml:space="preserve">Le terminal doit être préalablement enrôlé et validé par un référent</w:t>
      </w:r>
      <w:r>
        <w:t xml:space="preserve"> </w:t>
      </w:r>
      <w:r>
        <w:t xml:space="preserve">désigné de l’établissement.</w:t>
      </w:r>
    </w:p>
    <w:p>
      <w:pPr>
        <w:numPr>
          <w:ilvl w:val="0"/>
          <w:numId w:val="1007"/>
        </w:numPr>
      </w:pPr>
      <w:r>
        <w:t xml:space="preserve">Les données de santé transitent exclusivement via l’infrastructure HDS</w:t>
      </w:r>
      <w:r>
        <w:t xml:space="preserve"> </w:t>
      </w:r>
      <w:r>
        <w:t xml:space="preserve">MacroscopiX (05_Audit_Webdav_HDS.md) et utilisent le service</w:t>
      </w:r>
      <w:r>
        <w:t xml:space="preserve"> </w:t>
      </w:r>
      <w:r>
        <w:t xml:space="preserve">MacroscopixSync (06_Audit_Sync_Service.md).</w:t>
      </w:r>
    </w:p>
    <w:p>
      <w:pPr>
        <w:pStyle w:val="FirstParagraph"/>
      </w:pPr>
      <w:r>
        <w:t xml:space="preserve">Cette approche permet aux praticiens d’utiliser leurs smartphones</w:t>
      </w:r>
      <w:r>
        <w:t xml:space="preserve"> </w:t>
      </w:r>
      <w:r>
        <w:t xml:space="preserve">tout en assurant la sécurité, la traçabilité et la</w:t>
      </w:r>
      <w:r>
        <w:t xml:space="preserve"> </w:t>
      </w:r>
      <w:r>
        <w:t xml:space="preserve">conformité HDS des données de santé.</w:t>
      </w:r>
    </w:p>
    <w:bookmarkEnd w:id="13"/>
    <w:bookmarkStart w:id="15" w:name="X3089b4bd61df99141e5cfd59ef2f545dd9ad2b0"/>
    <w:p>
      <w:pPr>
        <w:pStyle w:val="Heading3"/>
      </w:pPr>
      <w:r>
        <w:t xml:space="preserve">1.4 Contexte clinique et flux de travail multi-modal</w:t>
      </w:r>
    </w:p>
    <w:p>
      <w:pPr>
        <w:pStyle w:val="FirstParagraph"/>
      </w:pPr>
      <w:r>
        <w:t xml:space="preserve">L’application est destinée à être utilisée en</w:t>
      </w:r>
      <w:r>
        <w:t xml:space="preserve"> </w:t>
      </w:r>
      <w:r>
        <w:rPr>
          <w:b/>
          <w:bCs/>
        </w:rPr>
        <w:t xml:space="preserve">laboratoire d’Anatomie</w:t>
      </w:r>
      <w:r>
        <w:rPr>
          <w:b/>
          <w:bCs/>
        </w:rPr>
        <w:t xml:space="preserve"> </w:t>
      </w:r>
      <w:r>
        <w:rPr>
          <w:b/>
          <w:bCs/>
        </w:rPr>
        <w:t xml:space="preserve">et Cytologie Pathologiques (ACP)</w:t>
      </w:r>
      <w:r>
        <w:t xml:space="preserve">, environnement technique contraint</w:t>
      </w:r>
      <w:r>
        <w:t xml:space="preserve"> </w:t>
      </w:r>
      <w:r>
        <w:t xml:space="preserve">(manipulation de formol, port de gants, risques chimiques) nécessitant</w:t>
      </w:r>
      <w:r>
        <w:t xml:space="preserve"> </w:t>
      </w:r>
      <w:r>
        <w:t xml:space="preserve">des outils rapides, robustes et ergonomiques, compatibles avec un usage</w:t>
      </w:r>
      <w:r>
        <w:t xml:space="preserve"> </w:t>
      </w:r>
      <w:r>
        <w:t xml:space="preserve">« sans contact ».</w:t>
      </w:r>
    </w:p>
    <w:p>
      <w:pPr>
        <w:pStyle w:val="BodyText"/>
      </w:pPr>
      <w:r>
        <w:t xml:space="preserve">Workflow sécurisé type 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Identification (entrée)</w:t>
      </w:r>
      <w:r>
        <w:br/>
      </w:r>
      <w:r>
        <w:t xml:space="preserve">Le praticien scanne le code-barres ou le DataMatrix du dossier</w:t>
      </w:r>
      <w:r>
        <w:t xml:space="preserve"> </w:t>
      </w:r>
      <w:r>
        <w:t xml:space="preserve">(numéro d’examen) directement sur la demande d’examen. L’absence de</w:t>
      </w:r>
      <w:r>
        <w:t xml:space="preserve"> </w:t>
      </w:r>
      <w:r>
        <w:t xml:space="preserve">saisie manuelle élimine les risques d’erreurs d’identitovigilance.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Acquisition multi-modale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Photographies macroscopiques</w:t>
      </w:r>
      <w:r>
        <w:t xml:space="preserve"> </w:t>
      </w:r>
      <w:r>
        <w:t xml:space="preserve">: Clichés haute résolution des pièces opératoires</w:t>
      </w:r>
      <w:r>
        <w:t xml:space="preserve"> </w:t>
      </w:r>
      <w:r>
        <w:t xml:space="preserve">et prélèvements avec recadrage et balance des blancs optimisée.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Dictaphone intégré</w:t>
      </w:r>
      <w:r>
        <w:t xml:space="preserve"> </w:t>
      </w:r>
      <w:r>
        <w:t xml:space="preserve">: Enregistrement vocal des descriptions macroscopiques</w:t>
      </w:r>
      <w:r>
        <w:t xml:space="preserve"> </w:t>
      </w:r>
      <w:r>
        <w:t xml:space="preserve">(format WAV audio haute fidélité) rattaché au numéro de prélèvement.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Scanner documentaire</w:t>
      </w:r>
      <w:r>
        <w:t xml:space="preserve"> </w:t>
      </w:r>
      <w:r>
        <w:t xml:space="preserve">: Numérisation des ordonnances, comptes-rendus extérieurs</w:t>
      </w:r>
      <w:r>
        <w:t xml:space="preserve"> </w:t>
      </w:r>
      <w:r>
        <w:t xml:space="preserve">ou feuilles de transmission au format PDF multi-pages.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Transfert (sortie)</w:t>
      </w:r>
      <w:r>
        <w:br/>
      </w:r>
      <w:r>
        <w:t xml:space="preserve">Envoi immédiat et automatique des fichiers vers le serveur sécurisé WebDAV HDS</w:t>
      </w:r>
      <w:r>
        <w:t xml:space="preserve"> </w:t>
      </w:r>
      <w:r>
        <w:t xml:space="preserve">(timeouts réseau configurés à 120s pour résister aux liaisons hospitalières instables).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Purge immédiate</w:t>
      </w:r>
      <w:r>
        <w:br/>
      </w:r>
      <w:r>
        <w:t xml:space="preserve">Suppression automatique et irréversible des fichiers de la mémoire vive et du cache</w:t>
      </w:r>
      <w:r>
        <w:t xml:space="preserve"> </w:t>
      </w:r>
      <w:r>
        <w:t xml:space="preserve">chiffré du terminal dès réception de l’acquittement HTTP 201/204 du serveur.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Aiguillage et intégration au SI hospitalier</w:t>
      </w:r>
      <w:r>
        <w:br/>
      </w:r>
      <w:r>
        <w:t xml:space="preserve">L’agent local MacroscopixSync rapatrie les fichiers et les achemine vers les répertoires</w:t>
      </w:r>
      <w:r>
        <w:t xml:space="preserve"> </w:t>
      </w:r>
      <w:r>
        <w:t xml:space="preserve">cibles appropriés du Système de Gestion de Laboratoire (SGL) / NAS :</w:t>
      </w:r>
    </w:p>
    <w:p>
      <w:pPr>
        <w:pStyle w:val="Compact"/>
        <w:numPr>
          <w:ilvl w:val="1"/>
          <w:numId w:val="1010"/>
        </w:numPr>
      </w:pPr>
      <w:r>
        <w:t xml:space="preserve">Dossier Images : Répertoire racine configuré (</w:t>
      </w:r>
      <w:r>
        <w:rPr>
          <w:rStyle w:val="VerbatimChar"/>
        </w:rPr>
        <w:t xml:space="preserve">LocalPath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Dossier Documents PDF : Répertoire dédié (</w:t>
      </w:r>
      <w:r>
        <w:rPr>
          <w:rStyle w:val="VerbatimChar"/>
        </w:rPr>
        <w:t xml:space="preserve">PdfLocalPath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Dossier Audio : Répertoire de dictée (</w:t>
      </w:r>
      <w:r>
        <w:rPr>
          <w:rStyle w:val="VerbatimChar"/>
        </w:rPr>
        <w:t xml:space="preserve">AudioLocalPath</w:t>
      </w:r>
      <w:r>
        <w:t xml:space="preserve">), avec normalisation automatique</w:t>
      </w:r>
      <w:r>
        <w:t xml:space="preserve"> </w:t>
      </w:r>
      <w:r>
        <w:t xml:space="preserve">des sous-dossiers (suppression des underscores type</w:t>
      </w:r>
      <w:r>
        <w:t xml:space="preserve"> </w:t>
      </w:r>
      <w:r>
        <w:rPr>
          <w:rStyle w:val="VerbatimChar"/>
        </w:rPr>
        <w:t xml:space="preserve">DossierPrelevement</w:t>
      </w:r>
      <w:r>
        <w:t xml:space="preserve"> </w:t>
      </w:r>
      <w:r>
        <w:t xml:space="preserve">pour compatibilité</w:t>
      </w:r>
      <w:r>
        <w:t xml:space="preserve"> </w:t>
      </w:r>
      <w:r>
        <w:t xml:space="preserve">avec les logiciels de transcription médicale).</w:t>
      </w:r>
    </w:p>
    <w:bookmarkStart w:id="14" w:name="objectifs-de-sécurité-majeurs"/>
    <w:p>
      <w:pPr>
        <w:pStyle w:val="Heading4"/>
      </w:pPr>
      <w:r>
        <w:t xml:space="preserve">Objectifs de sécurité majeurs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Zéro persistance :</w:t>
      </w:r>
      <w:r>
        <w:t xml:space="preserve"> </w:t>
      </w:r>
      <w:r>
        <w:t xml:space="preserve">aucune donnée de santé n’est conservée sur le</w:t>
      </w:r>
      <w:r>
        <w:t xml:space="preserve"> </w:t>
      </w:r>
      <w:r>
        <w:t xml:space="preserve">terminal mobile après le transfert.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Cloisonnement strict :</w:t>
      </w:r>
      <w:r>
        <w:t xml:space="preserve"> </w:t>
      </w:r>
      <w:r>
        <w:t xml:space="preserve">séparation physique et logique entre les</w:t>
      </w:r>
      <w:r>
        <w:t xml:space="preserve"> </w:t>
      </w:r>
      <w:r>
        <w:t xml:space="preserve">flux d’administration (FastAPI / PHP) et les flux de données de santé (WebDAV HDS / S3).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Intégrité et confidentialité :</w:t>
      </w:r>
      <w:r>
        <w:t xml:space="preserve"> </w:t>
      </w:r>
      <w:r>
        <w:t xml:space="preserve">chiffrement des flux réseau de bout</w:t>
      </w:r>
      <w:r>
        <w:t xml:space="preserve"> </w:t>
      </w:r>
      <w:r>
        <w:t xml:space="preserve">en bout (TLS ≥ 1.2, TLS 1.3 privilégié).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Contrôle d’intégrité strict avant purge cloud :</w:t>
      </w:r>
      <w:r>
        <w:t xml:space="preserve"> </w:t>
      </w:r>
      <w:r>
        <w:t xml:space="preserve">comparaison octet par octet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Content-Length</w:t>
      </w:r>
      <w:r>
        <w:t xml:space="preserve">) avant toute suppression sur le serveur HDS.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Isolation de sécurité et quarantaine :</w:t>
      </w:r>
      <w:r>
        <w:t xml:space="preserve"> </w:t>
      </w:r>
      <w:r>
        <w:t xml:space="preserve">exclusion absolue des répertoires</w:t>
      </w:r>
      <w:r>
        <w:t xml:space="preserve"> </w:t>
      </w:r>
      <w:r>
        <w:t xml:space="preserve">de quarantaine (</w:t>
      </w:r>
      <w:r>
        <w:rPr>
          <w:rStyle w:val="VerbatimChar"/>
        </w:rPr>
        <w:t xml:space="preserve">_quarantine</w:t>
      </w:r>
      <w:r>
        <w:t xml:space="preserve">) côté client local, interdisant le rapatriement ou</w:t>
      </w:r>
      <w:r>
        <w:t xml:space="preserve"> </w:t>
      </w:r>
      <w:r>
        <w:t xml:space="preserve">l’effacement de fichiers mis à l’isolement sur le cloud.</w:t>
      </w:r>
    </w:p>
    <w:bookmarkEnd w:id="14"/>
    <w:bookmarkEnd w:id="15"/>
    <w:bookmarkStart w:id="16" w:name="enjeux-et-bénéfices-institutionnels"/>
    <w:p>
      <w:pPr>
        <w:pStyle w:val="Heading3"/>
      </w:pPr>
      <w:r>
        <w:t xml:space="preserve">1.5 Enjeux et bénéfices institutionnels</w:t>
      </w:r>
    </w:p>
    <w:p>
      <w:pPr>
        <w:pStyle w:val="FirstParagraph"/>
      </w:pPr>
      <w:r>
        <w:t xml:space="preserve">Le déploiement de MacroscopiX répond à plusieurs objectifs stratégiques</w:t>
      </w:r>
      <w:r>
        <w:t xml:space="preserve"> </w:t>
      </w:r>
      <w:r>
        <w:t xml:space="preserve">pour l’établissement 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Besoin terrain identifié :</w:t>
      </w:r>
      <w:r>
        <w:t xml:space="preserve"> </w:t>
      </w:r>
      <w:r>
        <w:t xml:space="preserve">réponse à un besoin opérationnel réel</w:t>
      </w:r>
      <w:r>
        <w:t xml:space="preserve"> </w:t>
      </w:r>
      <w:r>
        <w:t xml:space="preserve">d’acquisition rapide et standardisée d’images, dictées et documents au poste de travail (paillasse).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Mobilité et efficacité :</w:t>
      </w:r>
      <w:r>
        <w:t xml:space="preserve"> </w:t>
      </w:r>
      <w:r>
        <w:t xml:space="preserve">centralisation des flux iconographiques et audio</w:t>
      </w:r>
      <w:r>
        <w:t xml:space="preserve"> </w:t>
      </w:r>
      <w:r>
        <w:t xml:space="preserve">sans infrastructure matérielle lourde ni poste fixe dédié.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Rationalisation économique :</w:t>
      </w:r>
      <w:r>
        <w:t xml:space="preserve"> </w:t>
      </w:r>
      <w:r>
        <w:t xml:space="preserve">alternative agile aux caméras sur potence et dictaphones</w:t>
      </w:r>
      <w:r>
        <w:t xml:space="preserve"> </w:t>
      </w:r>
      <w:r>
        <w:t xml:space="preserve">dédiés propriétaires.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Encadrement des pratiques (Shadow IT) :</w:t>
      </w:r>
      <w:r>
        <w:t xml:space="preserve"> </w:t>
      </w:r>
      <w:r>
        <w:t xml:space="preserve">sécurisation et</w:t>
      </w:r>
      <w:r>
        <w:t xml:space="preserve"> </w:t>
      </w:r>
      <w:r>
        <w:t xml:space="preserve">formalisation d’usages existants dans un cadre validé par la DSI et le RSSI.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Innovation pragmatique :</w:t>
      </w:r>
      <w:r>
        <w:t xml:space="preserve"> </w:t>
      </w:r>
      <w:r>
        <w:t xml:space="preserve">démarche d’amélioration continue de la</w:t>
      </w:r>
      <w:r>
        <w:t xml:space="preserve"> </w:t>
      </w:r>
      <w:r>
        <w:t xml:space="preserve">qualité des soins et de traçabilité médico-légale des prélèvements.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be4343c655ecf4695522337c8bb635581952559"/>
    <w:p>
      <w:pPr>
        <w:pStyle w:val="Heading2"/>
      </w:pPr>
      <w:r>
        <w:t xml:space="preserve">2. Architecture Globale et Ségrégation des Flux</w:t>
      </w:r>
    </w:p>
    <w:p>
      <w:pPr>
        <w:pStyle w:val="FirstParagraph"/>
      </w:pPr>
      <w:r>
        <w:t xml:space="preserve">L’architecture de MacroscopiX repose sur une</w:t>
      </w:r>
      <w:r>
        <w:t xml:space="preserve"> </w:t>
      </w:r>
      <w:r>
        <w:rPr>
          <w:b/>
          <w:bCs/>
        </w:rPr>
        <w:t xml:space="preserve">ségrégation stricte</w:t>
      </w:r>
      <w:r>
        <w:t xml:space="preserve"> </w:t>
      </w:r>
      <w:r>
        <w:t xml:space="preserve">(logique et physique) des composants, garantissant une étanchéité totale</w:t>
      </w:r>
      <w:r>
        <w:t xml:space="preserve"> </w:t>
      </w:r>
      <w:r>
        <w:t xml:space="preserve">entre la gestion administrative et le traitement des données de santé.</w:t>
      </w:r>
    </w:p>
    <w:bookmarkStart w:id="18" w:name="structuration-en-zones-distinctes"/>
    <w:p>
      <w:pPr>
        <w:pStyle w:val="Heading3"/>
      </w:pPr>
      <w:r>
        <w:t xml:space="preserve">2.1 Structuration en Zones Distinctes</w:t>
      </w:r>
    </w:p>
    <w:p>
      <w:pPr>
        <w:pStyle w:val="FirstParagraph"/>
      </w:pPr>
      <w:r>
        <w:t xml:space="preserve">La solution s’articule autour de deux environnements isolés 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Zone d’Administration (Non-HDS) :</w:t>
      </w:r>
      <w:r>
        <w:t xml:space="preserve"> </w:t>
      </w:r>
      <w:r>
        <w:t xml:space="preserve">Ce périmètre gère exclusivement</w:t>
      </w:r>
      <w:r>
        <w:t xml:space="preserve"> </w:t>
      </w:r>
      <w:r>
        <w:t xml:space="preserve">les métadonnées techniques (enrôlement des terminaux, licences, logs</w:t>
      </w:r>
      <w:r>
        <w:t xml:space="preserve"> </w:t>
      </w:r>
      <w:r>
        <w:t xml:space="preserve">techniques anonymisés). Il ne voit jamais passer de données de santé,</w:t>
      </w:r>
      <w:r>
        <w:t xml:space="preserve"> </w:t>
      </w:r>
      <w:r>
        <w:t xml:space="preserve">d’images ou d’enregistrements audio. L’accès administrateur est protégé par une</w:t>
      </w:r>
      <w:r>
        <w:t xml:space="preserve"> </w:t>
      </w:r>
      <w:r>
        <w:t xml:space="preserve">authentification forte (2FA / TOTP).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Zone de Transit HDS :</w:t>
      </w:r>
      <w:r>
        <w:t xml:space="preserve"> </w:t>
      </w:r>
      <w:r>
        <w:t xml:space="preserve">Cet environnement est dédié au transit et au</w:t>
      </w:r>
      <w:r>
        <w:t xml:space="preserve"> </w:t>
      </w:r>
      <w:r>
        <w:t xml:space="preserve">stockage temporaire des données médicales sur des infrastructures</w:t>
      </w:r>
      <w:r>
        <w:t xml:space="preserve"> </w:t>
      </w:r>
      <w:r>
        <w:t xml:space="preserve">certifiées</w:t>
      </w:r>
      <w:r>
        <w:t xml:space="preserve"> </w:t>
      </w:r>
      <w:r>
        <w:rPr>
          <w:b/>
          <w:bCs/>
        </w:rPr>
        <w:t xml:space="preserve">HDS (Hébergeur de Données de Santé)</w:t>
      </w:r>
      <w:r>
        <w:t xml:space="preserve">. L’architecture</w:t>
      </w:r>
      <w:r>
        <w:t xml:space="preserve"> </w:t>
      </w:r>
      <w:r>
        <w:t xml:space="preserve">est dite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: les données sont purgées dès que le transfert</w:t>
      </w:r>
      <w:r>
        <w:t xml:space="preserve"> </w:t>
      </w:r>
      <w:r>
        <w:t xml:space="preserve">vers le SIH est validé octet par octet.</w:t>
      </w:r>
    </w:p>
    <w:p>
      <w:pPr>
        <w:pStyle w:val="FirstParagraph"/>
      </w:pPr>
    </w:p>
    <w:bookmarkEnd w:id="18"/>
    <w:bookmarkStart w:id="19" w:name="X7e2479a163279e9b796aebf1695407411f6b21c"/>
    <w:p>
      <w:pPr>
        <w:pStyle w:val="Heading3"/>
      </w:pPr>
      <w:r>
        <w:t xml:space="preserve">2.2 Flexibilité d’Hébergement et Responsabilités</w:t>
      </w:r>
    </w:p>
    <w:p>
      <w:pPr>
        <w:pStyle w:val="FirstParagraph"/>
      </w:pPr>
      <w:r>
        <w:t xml:space="preserve">La solution offre deux modes de déploiement pour s’adapter aux</w:t>
      </w:r>
      <w:r>
        <w:t xml:space="preserve"> </w:t>
      </w:r>
      <w:r>
        <w:t xml:space="preserve">politiques de sécurité de l’établissement 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Modèle Standard (Cloud HDS) :</w:t>
      </w:r>
      <w:r>
        <w:t xml:space="preserve"> </w:t>
      </w:r>
      <w:r>
        <w:t xml:space="preserve">Le transit est assuré par les</w:t>
      </w:r>
      <w:r>
        <w:t xml:space="preserve"> </w:t>
      </w:r>
      <w:r>
        <w:t xml:space="preserve">serveurs certifiés MacroscopiX (Scalingo compute HDS + Hosteur S3 HDS). Le service</w:t>
      </w:r>
      <w:r>
        <w:t xml:space="preserve"> </w:t>
      </w:r>
      <w:r>
        <w:rPr>
          <w:b/>
          <w:bCs/>
        </w:rPr>
        <w:t xml:space="preserve">MacroscopixSync</w:t>
      </w:r>
      <w:r>
        <w:t xml:space="preserve"> </w:t>
      </w:r>
      <w:r>
        <w:t xml:space="preserve">assure la passerelle descendante vers le stockage local via un flux</w:t>
      </w:r>
      <w:r>
        <w:t xml:space="preserve"> </w:t>
      </w:r>
      <w:r>
        <w:t xml:space="preserve">HTTPS sortant exclusif.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Modèle Délégué (On-Premise) :</w:t>
      </w:r>
      <w:r>
        <w:t xml:space="preserve"> </w:t>
      </w:r>
      <w:r>
        <w:t xml:space="preserve">L’environnement de transit est</w:t>
      </w:r>
      <w:r>
        <w:t xml:space="preserve"> </w:t>
      </w:r>
      <w:r>
        <w:t xml:space="preserve">hébergé directement par le CHU (via une URL WebDAV interne en</w:t>
      </w:r>
      <w:r>
        <w:t xml:space="preserve"> </w:t>
      </w:r>
      <w:r>
        <w:t xml:space="preserve">HTTPS). Dans cette configuration :</w:t>
      </w:r>
    </w:p>
    <w:p>
      <w:pPr>
        <w:pStyle w:val="Compact"/>
        <w:numPr>
          <w:ilvl w:val="1"/>
          <w:numId w:val="1015"/>
        </w:numPr>
      </w:pPr>
      <w:r>
        <w:t xml:space="preserve">Le service</w:t>
      </w:r>
      <w:r>
        <w:t xml:space="preserve"> </w:t>
      </w:r>
      <w:r>
        <w:rPr>
          <w:b/>
          <w:bCs/>
        </w:rPr>
        <w:t xml:space="preserve">MacroscopixSync</w:t>
      </w:r>
      <w:r>
        <w:t xml:space="preserve"> </w:t>
      </w:r>
      <w:r>
        <w:t xml:space="preserve">peut être utilisé en réseau local ou remplacé par</w:t>
      </w:r>
      <w:r>
        <w:t xml:space="preserve"> </w:t>
      </w:r>
      <w:r>
        <w:t xml:space="preserve">les scripts de transfert internes du CHU.</w:t>
      </w:r>
    </w:p>
    <w:p>
      <w:pPr>
        <w:pStyle w:val="Compact"/>
        <w:numPr>
          <w:ilvl w:val="1"/>
          <w:numId w:val="1015"/>
        </w:numPr>
      </w:pPr>
      <w:r>
        <w:t xml:space="preserve">La sécurité périmétrique (WAF, reverse proxy, filtrage IP,</w:t>
      </w:r>
      <w:r>
        <w:t xml:space="preserve"> </w:t>
      </w:r>
      <w:r>
        <w:t xml:space="preserve">limitation de débit) et la conformité HDS incombent alors</w:t>
      </w:r>
      <w:r>
        <w:t xml:space="preserve"> </w:t>
      </w:r>
      <w:r>
        <w:t xml:space="preserve">entièrement à la DSI du CHU.</w:t>
      </w:r>
    </w:p>
    <w:bookmarkEnd w:id="19"/>
    <w:bookmarkStart w:id="20" w:name="X56cc60b839fdbea1cb0d7cbc52145be870f7079"/>
    <w:p>
      <w:pPr>
        <w:pStyle w:val="Heading3"/>
      </w:pPr>
      <w:r>
        <w:t xml:space="preserve">2.3 Connectivité et Politique d’Usage (BYOD vs Flotte Institutionnelle)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Scénario BYOD (4G/5G / Wi-Fi Invité) :</w:t>
      </w:r>
      <w:r>
        <w:t xml:space="preserve"> </w:t>
      </w:r>
      <w:r>
        <w:t xml:space="preserve">L’utilisation de terminaux mobiles professionnels ou personnels est sécurisée par le fait</w:t>
      </w:r>
      <w:r>
        <w:t xml:space="preserve"> </w:t>
      </w:r>
      <w:r>
        <w:t xml:space="preserve">qu’aucun fichier ne persiste en mémoire flash locale (purge mémoire immédiate après téléversement),</w:t>
      </w:r>
      <w:r>
        <w:t xml:space="preserve"> </w:t>
      </w:r>
      <w:r>
        <w:t xml:space="preserve">les identifiants sont protégés par le Keystore matériel, et tous les flux sont chiffrés en TLS 1.2/1.3.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Réseau Wi-Fi CHU :</w:t>
      </w:r>
      <w:r>
        <w:t xml:space="preserve"> </w:t>
      </w:r>
      <w:r>
        <w:t xml:space="preserve">Si le terminal est raccordé au réseau Wi-Fi hospitalier, les flux sortants vers les sous-domaines</w:t>
      </w:r>
      <w:r>
        <w:t xml:space="preserve"> </w:t>
      </w:r>
      <w:r>
        <w:rPr>
          <w:rStyle w:val="VerbatimChar"/>
        </w:rPr>
        <w:t xml:space="preserve">*.macroscopix.fr</w:t>
      </w:r>
      <w:r>
        <w:t xml:space="preserve"> </w:t>
      </w:r>
      <w:r>
        <w:t xml:space="preserve">sur le port 443 doivent être autorisés sur le filtrage réseau / proxy de l’établissement.</w:t>
      </w:r>
      <w:r>
        <w:t xml:space="preserve"> </w:t>
      </w:r>
      <w:r>
        <w:t xml:space="preserve">L’application intègre des délais de garde réseau étendus (120 secondes) évitant les échecs lors des</w:t>
      </w:r>
      <w:r>
        <w:t xml:space="preserve"> </w:t>
      </w:r>
      <w:r>
        <w:t xml:space="preserve">transitions de bornes Wi-Fi.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trice-des-flux-et-des-ports"/>
    <w:p>
      <w:pPr>
        <w:pStyle w:val="Heading2"/>
      </w:pPr>
      <w:r>
        <w:t xml:space="preserve">3. Matrice des flux et des 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Protocole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Données de santé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Android</w:t>
            </w:r>
          </w:p>
        </w:tc>
        <w:tc>
          <w:tcPr/>
          <w:p>
            <w:pPr>
              <w:pStyle w:val="Compact"/>
            </w:pPr>
            <w:r>
              <w:t xml:space="preserve">API d’enrôlement (</w:t>
            </w:r>
            <w:r>
              <w:rPr>
                <w:rStyle w:val="VerbatimChar"/>
              </w:rPr>
              <w:t xml:space="preserve">api.macroscopix.fr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Configuration, OTP, vérification token, logs techniques anonymisés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Android</w:t>
            </w:r>
          </w:p>
        </w:tc>
        <w:tc>
          <w:tcPr/>
          <w:p>
            <w:pPr>
              <w:pStyle w:val="Compact"/>
            </w:pPr>
            <w:r>
              <w:t xml:space="preserve">Serveur WebDAV (</w:t>
            </w:r>
            <w:r>
              <w:rPr>
                <w:rStyle w:val="VerbatimChar"/>
              </w:rPr>
              <w:t xml:space="preserve">hds.macroscopix.fr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Téléversement (PUT) des photos, fichiers audio WAV et documents PDF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MacroscopixSync (Windows)</w:t>
            </w:r>
          </w:p>
        </w:tc>
        <w:tc>
          <w:tcPr/>
          <w:p>
            <w:pPr>
              <w:pStyle w:val="Compact"/>
            </w:pPr>
            <w:r>
              <w:t xml:space="preserve">Serveur WebDAV (</w:t>
            </w:r>
            <w:r>
              <w:rPr>
                <w:rStyle w:val="VerbatimChar"/>
              </w:rPr>
              <w:t xml:space="preserve">hds.macroscopix.fr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Téléchargement séquentiel (GET), vérification de taille, et suppression (DELETE)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MacroscopixSync (Windows)</w:t>
            </w:r>
          </w:p>
        </w:tc>
        <w:tc>
          <w:tcPr/>
          <w:p>
            <w:pPr>
              <w:pStyle w:val="Compact"/>
            </w:pPr>
            <w:r>
              <w:t xml:space="preserve">Stockage Local CHU (NAS / SGL)</w:t>
            </w:r>
          </w:p>
        </w:tc>
        <w:tc>
          <w:tcPr/>
          <w:p>
            <w:pPr>
              <w:pStyle w:val="Compact"/>
            </w:pPr>
            <w:r>
              <w:t xml:space="preserve">SMB v3 / NTFS</w:t>
            </w:r>
          </w:p>
        </w:tc>
        <w:tc>
          <w:tcPr/>
          <w:p>
            <w:pPr>
              <w:pStyle w:val="Compact"/>
            </w:pPr>
            <w:r>
              <w:t xml:space="preserve">445 / Local</w:t>
            </w:r>
          </w:p>
        </w:tc>
        <w:tc>
          <w:tcPr/>
          <w:p>
            <w:pPr>
              <w:pStyle w:val="Compact"/>
            </w:pPr>
            <w:r>
              <w:t xml:space="preserve">Dépôt ventilé des fichiers (Images, PDF, Audio)</w:t>
            </w:r>
          </w:p>
        </w:tc>
        <w:tc>
          <w:tcPr/>
          <w:p>
            <w:pPr>
              <w:pStyle w:val="Compact"/>
            </w:pPr>
            <w:r>
              <w:t xml:space="preserve">Oui (Intra-CHU)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d’administration</w:t>
            </w:r>
          </w:p>
        </w:tc>
        <w:tc>
          <w:tcPr/>
          <w:p>
            <w:pPr>
              <w:pStyle w:val="Compact"/>
            </w:pPr>
            <w:r>
              <w:t xml:space="preserve">API d’enrôlement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Gestion des licences et des terminaux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importante :</w:t>
      </w:r>
      <w:r>
        <w:t xml:space="preserve"> </w:t>
      </w:r>
      <w:r>
        <w:t xml:space="preserve">aucun flux entrant n’est requis sur le pare-feu du</w:t>
      </w:r>
      <w:r>
        <w:t xml:space="preserve"> </w:t>
      </w:r>
      <w:r>
        <w:t xml:space="preserve">CHU. L’ensemble des connexions est initié en sortie (HTTPS standard sortant port 443).</w:t>
      </w:r>
    </w:p>
    <w:p>
      <w:r>
        <w:pict>
          <v:rect style="width:0;height:1.5pt" o:hralign="center" o:hrstd="t" o:hr="t"/>
        </w:pict>
      </w:r>
    </w:p>
    <w:bookmarkEnd w:id="22"/>
    <w:bookmarkStart w:id="28" w:name="mesures-de-sécurité-mises-en-œuvre"/>
    <w:p>
      <w:pPr>
        <w:pStyle w:val="Heading2"/>
      </w:pPr>
      <w:r>
        <w:t xml:space="preserve">4. Mesures de sécurité mises en œuvre</w:t>
      </w:r>
    </w:p>
    <w:bookmarkStart w:id="23" w:name="sécurité-sur-le-terminal-mobile"/>
    <w:p>
      <w:pPr>
        <w:pStyle w:val="Heading3"/>
      </w:pPr>
      <w:r>
        <w:t xml:space="preserve">4.1 Sécurité sur le terminal mobile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Traitement en mémoire vive et cache éphémère :</w:t>
      </w:r>
      <w:r>
        <w:t xml:space="preserve"> </w:t>
      </w:r>
      <w:r>
        <w:t xml:space="preserve">Les clichés, enregistrements audio</w:t>
      </w:r>
      <w:r>
        <w:t xml:space="preserve"> </w:t>
      </w:r>
      <w:r>
        <w:t xml:space="preserve">et scans PDF sont manipulés en RAM ou dans le sandbox applicatif privé isolé.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Suppression immédiate :</w:t>
      </w:r>
      <w:r>
        <w:t xml:space="preserve"> </w:t>
      </w:r>
      <w:r>
        <w:t xml:space="preserve">Effacement automatique dès confirmation du transfert WebDAV.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Absence de stockage local :</w:t>
      </w:r>
      <w:r>
        <w:t xml:space="preserve"> </w:t>
      </w:r>
      <w:r>
        <w:t xml:space="preserve">Aucune inscription dans la galerie publique Android</w:t>
      </w:r>
      <w:r>
        <w:t xml:space="preserve"> </w:t>
      </w:r>
      <w:r>
        <w:t xml:space="preserve">ni dans les répertoires partagés du système.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Protection des secrets :</w:t>
      </w:r>
      <w:r>
        <w:t xml:space="preserve"> </w:t>
      </w:r>
      <w:r>
        <w:t xml:space="preserve">Stockage des identifiants et jetons dans</w:t>
      </w:r>
      <w:r>
        <w:t xml:space="preserve"> </w:t>
      </w:r>
      <w:r>
        <w:t xml:space="preserve">le Android Keystore avec protection matérielle (TEE / StrongBox).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Obfuscation du code :</w:t>
      </w:r>
      <w:r>
        <w:t xml:space="preserve"> </w:t>
      </w:r>
      <w:r>
        <w:t xml:space="preserve">Minification et obfuscation complètes via R8 / ProGuard.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Résilience réseau :</w:t>
      </w:r>
      <w:r>
        <w:t xml:space="preserve"> </w:t>
      </w:r>
      <w:r>
        <w:t xml:space="preserve">Timeouts HTTP calibrés à 120s pour sécuriser les téléversements</w:t>
      </w:r>
      <w:r>
        <w:t xml:space="preserve"> </w:t>
      </w:r>
      <w:r>
        <w:t xml:space="preserve">de fichiers volumineux (PDF multi-pages, audio WAV) sans corruption.</w:t>
      </w:r>
    </w:p>
    <w:bookmarkEnd w:id="23"/>
    <w:bookmarkStart w:id="24" w:name="sécurité-des-communications"/>
    <w:p>
      <w:pPr>
        <w:pStyle w:val="Heading3"/>
      </w:pPr>
      <w:r>
        <w:t xml:space="preserve">4.2 Sécurité des communications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Chiffrement TLS 1.3</w:t>
      </w:r>
      <w:r>
        <w:t xml:space="preserve"> </w:t>
      </w:r>
      <w:r>
        <w:t xml:space="preserve">(TLS 1.2 minimum avec suites cryptographiques robustes).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Authentification forte :</w:t>
      </w:r>
      <w:r>
        <w:t xml:space="preserve"> </w:t>
      </w:r>
      <w:r>
        <w:t xml:space="preserve">Jeton unique par terminal avec liaison matérielle au</w:t>
      </w:r>
      <w:r>
        <w:t xml:space="preserve"> </w:t>
      </w:r>
      <w:r>
        <w:rPr>
          <w:rStyle w:val="VerbatimChar"/>
        </w:rPr>
        <w:t xml:space="preserve">device_uuid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Validation SSL stricte :</w:t>
      </w:r>
      <w:r>
        <w:t xml:space="preserve"> </w:t>
      </w:r>
      <w:r>
        <w:t xml:space="preserve">Vérification systématique de la chaîne de certification.</w:t>
      </w:r>
    </w:p>
    <w:bookmarkEnd w:id="24"/>
    <w:bookmarkStart w:id="25" w:name="hébergement-et-stockage-hds"/>
    <w:p>
      <w:pPr>
        <w:pStyle w:val="Heading3"/>
      </w:pPr>
      <w:r>
        <w:t xml:space="preserve">4.3 Hébergement et stockage HDS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Zone HDS multi-fournisseurs français 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Serveur WebDAV (compute)</w:t>
      </w:r>
      <w:r>
        <w:t xml:space="preserve"> </w:t>
      </w:r>
      <w:r>
        <w:t xml:space="preserve">: hébergé chez Scalingo (certifié HDS et ISO 27001).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Stockage objet (S3)</w:t>
      </w:r>
      <w:r>
        <w:t xml:space="preserve"> </w:t>
      </w:r>
      <w:r>
        <w:t xml:space="preserve">: hébergé chez Hosteur (certifié HDS et ISO 27001).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Chiffrement au repos :</w:t>
      </w:r>
      <w:r>
        <w:t xml:space="preserve"> </w:t>
      </w:r>
      <w:r>
        <w:t xml:space="preserve">Chiffrement natif AES-256 (SSE-S3).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Isolation logique forte :</w:t>
      </w:r>
    </w:p>
    <w:p>
      <w:pPr>
        <w:pStyle w:val="Compact"/>
        <w:numPr>
          <w:ilvl w:val="1"/>
          <w:numId w:val="1021"/>
        </w:numPr>
      </w:pPr>
      <w:r>
        <w:t xml:space="preserve">Un dossier racine dédié et étanche par établissement.</w:t>
      </w:r>
    </w:p>
    <w:p>
      <w:pPr>
        <w:pStyle w:val="Compact"/>
        <w:numPr>
          <w:ilvl w:val="1"/>
          <w:numId w:val="1021"/>
        </w:numPr>
      </w:pPr>
      <w:r>
        <w:t xml:space="preserve">Un jeton WebDAV unique par dossier racine.</w:t>
      </w:r>
    </w:p>
    <w:p>
      <w:pPr>
        <w:pStyle w:val="Compact"/>
        <w:numPr>
          <w:ilvl w:val="1"/>
          <w:numId w:val="1021"/>
        </w:numPr>
      </w:pPr>
      <w:r>
        <w:t xml:space="preserve">Rejet des accès croisés.</w:t>
      </w:r>
    </w:p>
    <w:bookmarkEnd w:id="25"/>
    <w:bookmarkStart w:id="26" w:name="dispositif-de-quarantaine-et-intégrité"/>
    <w:p>
      <w:pPr>
        <w:pStyle w:val="Heading3"/>
      </w:pPr>
      <w:r>
        <w:t xml:space="preserve">4.4 Dispositif de Quarantaine et Intégrité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Gestion des fichiers suspects (Quarantaine serveur) :</w:t>
      </w:r>
      <w:r>
        <w:t xml:space="preserve"> </w:t>
      </w:r>
      <w:r>
        <w:t xml:space="preserve">Les fichiers identifiés comme</w:t>
      </w:r>
      <w:r>
        <w:t xml:space="preserve"> </w:t>
      </w:r>
      <w:r>
        <w:t xml:space="preserve">anormaux par les contrôles d’intégrité cloud sont déplacés dans un dossier isolé</w:t>
      </w:r>
      <w:r>
        <w:t xml:space="preserve"> </w:t>
      </w:r>
      <w:r>
        <w:rPr>
          <w:rStyle w:val="VerbatimChar"/>
        </w:rPr>
        <w:t xml:space="preserve">_quarantine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Exclusion stricte côté agent local :</w:t>
      </w:r>
      <w:r>
        <w:t xml:space="preserve"> </w:t>
      </w:r>
      <w:r>
        <w:t xml:space="preserve">L’agent Windows</w:t>
      </w:r>
      <w:r>
        <w:t xml:space="preserve"> </w:t>
      </w:r>
      <w:r>
        <w:rPr>
          <w:rStyle w:val="VerbatimChar"/>
        </w:rPr>
        <w:t xml:space="preserve">MacroscopixSync</w:t>
      </w:r>
      <w:r>
        <w:t xml:space="preserve"> </w:t>
      </w:r>
      <w:r>
        <w:t xml:space="preserve">filtre et ignore</w:t>
      </w:r>
      <w:r>
        <w:t xml:space="preserve"> </w:t>
      </w:r>
      <w:r>
        <w:t xml:space="preserve">rigoureusement tout dossier ou fichier contenant</w:t>
      </w:r>
      <w:r>
        <w:t xml:space="preserve"> </w:t>
      </w:r>
      <w:r>
        <w:rPr>
          <w:rStyle w:val="VerbatimChar"/>
        </w:rPr>
        <w:t xml:space="preserve">quarantine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_quarantine</w:t>
      </w:r>
      <w:r>
        <w:t xml:space="preserve">. Ces fichiers ne sont</w:t>
      </w:r>
      <w:r>
        <w:t xml:space="preserve"> </w:t>
      </w:r>
      <w:r>
        <w:t xml:space="preserve">jamais rapatriés sur le réseau du CHU et ne sont jamais supprimés par l’agent de synchronisation.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Contrôle d’intégrité de transfert :</w:t>
      </w:r>
      <w:r>
        <w:t xml:space="preserve"> </w:t>
      </w:r>
      <w:r>
        <w:t xml:space="preserve">L’agent compare la taille exacte du fichier téléchargé</w:t>
      </w:r>
      <w:r>
        <w:t xml:space="preserve"> </w:t>
      </w:r>
      <w:r>
        <w:t xml:space="preserve">avec l’en-tête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émis par le serveur WebDAV. En cas d’écart (téléchargement partiel),</w:t>
      </w:r>
      <w:r>
        <w:t xml:space="preserve"> </w:t>
      </w:r>
      <w:r>
        <w:t xml:space="preserve">le fichier local temporaire</w:t>
      </w:r>
      <w:r>
        <w:t xml:space="preserve"> </w:t>
      </w:r>
      <w:r>
        <w:rPr>
          <w:rStyle w:val="VerbatimChar"/>
        </w:rPr>
        <w:t xml:space="preserve">.tmp</w:t>
      </w:r>
      <w:r>
        <w:t xml:space="preserve"> </w:t>
      </w:r>
      <w:r>
        <w:t xml:space="preserve">est détruit et le fichier distant est conservé intact pour un</w:t>
      </w:r>
      <w:r>
        <w:t xml:space="preserve"> </w:t>
      </w:r>
      <w:r>
        <w:t xml:space="preserve">nouvel essai.</w:t>
      </w:r>
    </w:p>
    <w:bookmarkEnd w:id="26"/>
    <w:bookmarkStart w:id="27" w:name="X5732cfa179825104bb2c88a5c436d1c0500aa09"/>
    <w:p>
      <w:pPr>
        <w:pStyle w:val="Heading3"/>
      </w:pPr>
      <w:r>
        <w:t xml:space="preserve">4.5 Supervision et Résilience de l’Agent Local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Démarrage résilient :</w:t>
      </w:r>
      <w:r>
        <w:t xml:space="preserve"> </w:t>
      </w:r>
      <w:r>
        <w:t xml:space="preserve">Au démarrage de la session ou du système Windows, l’agent exécute</w:t>
      </w:r>
      <w:r>
        <w:t xml:space="preserve"> </w:t>
      </w:r>
      <w:r>
        <w:t xml:space="preserve">une boucle d’attente réseau non bloquante (contrôle toutes les 5 secondes) jusqu’à ce que la passerelle</w:t>
      </w:r>
      <w:r>
        <w:t xml:space="preserve"> </w:t>
      </w:r>
      <w:r>
        <w:t xml:space="preserve">et le DNS hospitalier soient opérationnels, évitant les crashs au boot.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Déploiement Per-User / Service :</w:t>
      </w:r>
      <w:r>
        <w:t xml:space="preserve"> </w:t>
      </w:r>
      <w:r>
        <w:t xml:space="preserve">L’agent peut s’exécuter sous session utilisateur sans</w:t>
      </w:r>
      <w:r>
        <w:t xml:space="preserve"> </w:t>
      </w:r>
      <w:r>
        <w:t xml:space="preserve">nécessiter d’élévation permanente des privilèges administrateur.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Supervision en temps réel :</w:t>
      </w:r>
      <w:r>
        <w:t xml:space="preserve"> </w:t>
      </w:r>
      <w:r>
        <w:t xml:space="preserve">Console d’état visuelle avec typage clair des flux reçus</w:t>
      </w:r>
      <w:r>
        <w:t xml:space="preserve"> </w:t>
      </w:r>
      <w:r>
        <w:t xml:space="preserve">(images, documents, audio) et journalisation conforme aux standards d’exploitation DSI.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formité-rgpd-et-hds"/>
    <w:p>
      <w:pPr>
        <w:pStyle w:val="Heading2"/>
      </w:pPr>
      <w:r>
        <w:t xml:space="preserve">5. Conformité RGPD et HDS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Exigence</w:t>
            </w:r>
          </w:p>
        </w:tc>
        <w:tc>
          <w:tcPr/>
          <w:p>
            <w:pPr>
              <w:pStyle w:val="Compact"/>
            </w:pPr>
            <w:r>
              <w:t xml:space="preserve">Mise en œuvre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Droit à l’effacement</w:t>
            </w:r>
          </w:p>
        </w:tc>
        <w:tc>
          <w:tcPr/>
          <w:p>
            <w:pPr>
              <w:pStyle w:val="Compact"/>
            </w:pPr>
            <w:r>
              <w:t xml:space="preserve">Suppression automatique du Cloud HDS immédiatement après rapatriement et vérification par le CHU. Purge de sécurité programmée (24h) via Lifecycle Policy S3.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Minimisation des données</w:t>
            </w:r>
          </w:p>
        </w:tc>
        <w:tc>
          <w:tcPr/>
          <w:p>
            <w:pPr>
              <w:pStyle w:val="Compact"/>
            </w:pPr>
            <w:r>
              <w:t xml:space="preserve">Conservation exclusive de journaux techniques anonymisés (horodatage, volumétrie, UUID terminal). Aucune donnée d’identification patient dans les bases centrales.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Souveraineté</w:t>
            </w:r>
          </w:p>
        </w:tc>
        <w:tc>
          <w:tcPr/>
          <w:p>
            <w:pPr>
              <w:pStyle w:val="Compact"/>
            </w:pPr>
            <w:r>
              <w:t xml:space="preserve">Données de santé (photos, audio, PDF) traitées et hébergées 100 % en France sur des datacenters certifiés HDS (Scalingo / Hosteur). Les métadonnées administratives sont hébergées chez Infomaniak (Suisse).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t xml:space="preserve">Conservation des journaux techniques de transfert pendant 12 mois.</w:t>
            </w:r>
          </w:p>
        </w:tc>
      </w:tr>
    </w:tbl>
    <w:bookmarkEnd w:id="29"/>
    <w:bookmarkStart w:id="30" w:name="prérequis-côté-chu"/>
    <w:p>
      <w:pPr>
        <w:pStyle w:val="Heading2"/>
      </w:pPr>
      <w:r>
        <w:t xml:space="preserve">6. Prérequis côté CHU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Poste ou VM de synchronisation</w:t>
      </w:r>
      <w:r>
        <w:t xml:space="preserve"> </w:t>
      </w:r>
      <w:r>
        <w:t xml:space="preserve">(Windows 10/11 ou Windows Server) disposant d’un accès</w:t>
      </w:r>
      <w:r>
        <w:t xml:space="preserve"> </w:t>
      </w:r>
      <w:r>
        <w:t xml:space="preserve">Internet sortant HTTPS (port 443) et d’un accès en écriture sur le partage cible (SMB/NTFS).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Autorisations pare-feu / proxy</w:t>
      </w:r>
      <w:r>
        <w:t xml:space="preserve"> </w:t>
      </w:r>
      <w:r>
        <w:t xml:space="preserve">: Autorisation en sortie des domaines</w:t>
      </w:r>
      <w:r>
        <w:t xml:space="preserve"> </w:t>
      </w:r>
      <w:r>
        <w:rPr>
          <w:rStyle w:val="VerbatimChar"/>
        </w:rPr>
        <w:t xml:space="preserve">*.macroscopix.fr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Répertoire(s) de destination</w:t>
      </w:r>
      <w:r>
        <w:t xml:space="preserve"> </w:t>
      </w:r>
      <w:r>
        <w:t xml:space="preserve">: Droits d’écriture accordés pour les dossiers cibles</w:t>
      </w:r>
      <w:r>
        <w:t xml:space="preserve"> </w:t>
      </w:r>
      <w:r>
        <w:t xml:space="preserve">(Photos, Documents PDF, Fichiers Audio).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2026-10-11T21:18:23Z</dcterms:created>
  <dcterms:modified xsi:type="dcterms:W3CDTF">2026-10-11T21:18:23Z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