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re1"/>
        <w:rPr>
          <w:lang w:val="fr-FR"/>
        </w:rPr>
      </w:pPr>
      <w:r>
        <w:rPr>
          <w:lang w:val="fr-FR"/>
        </w:rPr>
        <w:t>Audit Technique : Client de Synchronisation (</w:t>
      </w:r>
      <w:proofErr w:type="spellStart"/>
      <w:r>
        <w:rPr>
          <w:lang w:val="fr-FR"/>
        </w:rPr>
        <w:t>MacroscopixSync</w:t>
      </w:r>
      <w:proofErr w:type="spellEnd"/>
      <w:r>
        <w:rPr>
          <w:lang w:val="fr-FR"/>
        </w:rPr>
        <w:t>)</w:t>
      </w:r>
    </w:p>
    <w:p>
      <w:pPr>
        <w:pStyle w:val="NormalWeb"/>
        <w:spacing w:after="0" w:afterAutospacing="0"/>
      </w:pPr>
      <w:r>
        <w:rPr>
          <w:b/>
          <w:bCs/>
        </w:rPr>
        <w:t>Composant :</w:t>
      </w:r>
      <w:r>
        <w:t xml:space="preserve"> Agent Windows (Service)</w:t>
      </w:r>
    </w:p>
    <w:p>
      <w:pPr>
        <w:pStyle w:val="NormalWeb"/>
        <w:spacing w:before="0" w:beforeAutospacing="0" w:after="0" w:afterAutospacing="0"/>
      </w:pPr>
      <w:r>
        <w:rPr>
          <w:b/>
          <w:bCs/>
        </w:rPr>
        <w:t>Technologie :</w:t>
      </w:r>
      <w:r>
        <w:t xml:space="preserve"> .NET 8.0 LTS (C#)</w:t>
      </w:r>
    </w:p>
    <w:p>
      <w:pPr>
        <w:pStyle w:val="NormalWeb"/>
        <w:spacing w:before="0" w:beforeAutospacing="0" w:after="0" w:afterAutospacing="0"/>
      </w:pPr>
      <w:r>
        <w:rPr>
          <w:b/>
          <w:bCs/>
        </w:rPr>
        <w:t>Rôle :</w:t>
      </w:r>
      <w:r>
        <w:t xml:space="preserve"> Passerelle sécurisée descendante entre le Cloud HDS et le SIH local (LIS / NAS)</w:t>
      </w:r>
    </w:p>
    <w:p>
      <w:r>
        <w:pict>
          <v:rect id="_x0000_i1097" style="width:0;height:1.5pt" o:hralign="center" o:hrstd="t" o:hr="t" fillcolor="#a0a0a0" stroked="f"/>
        </w:pict>
      </w:r>
    </w:p>
    <w:p>
      <w:pPr>
        <w:pStyle w:val="Titre2"/>
        <w:rPr>
          <w:lang w:val="fr-FR"/>
        </w:rPr>
      </w:pPr>
      <w:r>
        <w:rPr>
          <w:lang w:val="fr-FR"/>
        </w:rPr>
        <w:t>1. Fonctionnement Technique</w:t>
      </w:r>
    </w:p>
    <w:p>
      <w:pPr>
        <w:pStyle w:val="NormalWeb"/>
      </w:pPr>
      <w:r>
        <w:t xml:space="preserve">Le module </w:t>
      </w:r>
      <w:proofErr w:type="spellStart"/>
      <w:r>
        <w:rPr>
          <w:b/>
          <w:bCs/>
        </w:rPr>
        <w:t>MacroscopixSync</w:t>
      </w:r>
      <w:proofErr w:type="spellEnd"/>
      <w:r>
        <w:t xml:space="preserve"> est un service Windows natif (</w:t>
      </w:r>
      <w:r>
        <w:rPr>
          <w:rStyle w:val="CodeHTML"/>
        </w:rPr>
        <w:t>Macroscopix.Sync.Service.exe</w:t>
      </w:r>
      <w:r>
        <w:t>). Il est conçu pour automatiser la récupération des images médicales et leur intégration dans le flux de travail hospitalier sans intervention humaine.</w:t>
      </w:r>
    </w:p>
    <w:p>
      <w:pPr>
        <w:pStyle w:val="Titre3"/>
      </w:pPr>
      <w:r>
        <w:t xml:space="preserve">1.1 Cycle de Vie et </w:t>
      </w:r>
      <w:proofErr w:type="spellStart"/>
      <w:r>
        <w:t>Automatisme</w:t>
      </w:r>
      <w:proofErr w:type="spellEnd"/>
    </w:p>
    <w:p>
      <w:pPr>
        <w:pStyle w:val="NormalWeb"/>
        <w:numPr>
          <w:ilvl w:val="0"/>
          <w:numId w:val="9"/>
        </w:numPr>
      </w:pPr>
      <w:r>
        <w:rPr>
          <w:b/>
          <w:bCs/>
        </w:rPr>
        <w:t>Polling (Mécanisme Pull) :</w:t>
      </w:r>
      <w:r>
        <w:t xml:space="preserve"> Le service interroge le serveur </w:t>
      </w:r>
      <w:proofErr w:type="spellStart"/>
      <w:r>
        <w:t>WebDAV</w:t>
      </w:r>
      <w:proofErr w:type="spellEnd"/>
      <w:r>
        <w:t xml:space="preserve"> HDS via une connexion sécurisée à intervalles réguliers (configurable via </w:t>
      </w:r>
      <w:proofErr w:type="spellStart"/>
      <w:r>
        <w:rPr>
          <w:rStyle w:val="CodeHTML"/>
        </w:rPr>
        <w:t>PollIntervalInMinutes</w:t>
      </w:r>
      <w:proofErr w:type="spellEnd"/>
      <w:r>
        <w:t>).</w:t>
      </w:r>
    </w:p>
    <w:p>
      <w:pPr>
        <w:pStyle w:val="NormalWeb"/>
        <w:numPr>
          <w:ilvl w:val="0"/>
          <w:numId w:val="9"/>
        </w:numPr>
      </w:pPr>
      <w:r>
        <w:rPr>
          <w:b/>
          <w:bCs/>
        </w:rPr>
        <w:t>Transfert Séquentiel :</w:t>
      </w:r>
      <w:r>
        <w:t xml:space="preserve"> Les nouveaux fichiers sont téléchargés un par un via HTTPS pour garantir l'intégrité de chaque transfert et ne pas saturer la bande passante.</w:t>
      </w:r>
    </w:p>
    <w:p>
      <w:pPr>
        <w:pStyle w:val="NormalWeb"/>
        <w:numPr>
          <w:ilvl w:val="0"/>
          <w:numId w:val="9"/>
        </w:numPr>
      </w:pPr>
      <w:r>
        <w:rPr>
          <w:b/>
          <w:bCs/>
        </w:rPr>
        <w:t>Dépôt Local (SMB Push) :</w:t>
      </w:r>
      <w:r>
        <w:t xml:space="preserve"> Une fois téléchargé, le service dépose le fichier sur le stockage cible du CHU (partage réseau UNC ou disque local) via le protocole </w:t>
      </w:r>
      <w:r>
        <w:rPr>
          <w:b/>
          <w:bCs/>
        </w:rPr>
        <w:t>SMB v3</w:t>
      </w:r>
      <w:r>
        <w:t xml:space="preserve"> (chiffré).</w:t>
      </w:r>
    </w:p>
    <w:p>
      <w:pPr>
        <w:pStyle w:val="NormalWeb"/>
        <w:numPr>
          <w:ilvl w:val="0"/>
          <w:numId w:val="9"/>
        </w:numPr>
      </w:pPr>
      <w:r>
        <w:rPr>
          <w:b/>
          <w:bCs/>
        </w:rPr>
        <w:t>Acquittement et Purge HDS :</w:t>
      </w:r>
      <w:r>
        <w:t xml:space="preserve"> Immédiatement après confirmation de l'écriture locale (vérification du checksum), le service émet une commande </w:t>
      </w:r>
      <w:r>
        <w:rPr>
          <w:rStyle w:val="CodeHTML"/>
        </w:rPr>
        <w:t>DELETE</w:t>
      </w:r>
      <w:r>
        <w:t xml:space="preserve"> vers le Cloud HDS.</w:t>
      </w:r>
      <w:r>
        <w:t xml:space="preserve"> </w:t>
      </w:r>
      <w:r>
        <w:t xml:space="preserve">Le fichier n'est supprimé du Cloud </w:t>
      </w:r>
      <w:r>
        <w:rPr>
          <w:b/>
          <w:bCs/>
        </w:rPr>
        <w:t>qu'après</w:t>
      </w:r>
      <w:r>
        <w:t xml:space="preserve"> validation de sa persistance sur l'infrastructure du CHU.</w:t>
      </w:r>
    </w:p>
    <w:p>
      <w:r>
        <w:pict>
          <v:rect id="_x0000_i1098" style="width:0;height:1.5pt" o:hralign="center" o:hrstd="t" o:hr="t" fillcolor="#a0a0a0" stroked="f"/>
        </w:pict>
      </w:r>
    </w:p>
    <w:p>
      <w:pPr>
        <w:pStyle w:val="Titre2"/>
        <w:rPr>
          <w:lang w:val="fr-FR"/>
        </w:rPr>
      </w:pPr>
      <w:r>
        <w:rPr>
          <w:lang w:val="fr-FR"/>
        </w:rPr>
        <w:t>2. Analyse de Sécurité et Étanchéité</w:t>
      </w:r>
    </w:p>
    <w:p>
      <w:pPr>
        <w:pStyle w:val="Titre3"/>
        <w:rPr>
          <w:lang w:val="fr-FR"/>
        </w:rPr>
      </w:pPr>
      <w:r>
        <w:rPr>
          <w:lang w:val="fr-FR"/>
        </w:rPr>
        <w:t>2.1 Flux Réseau et Périmètre</w:t>
      </w:r>
    </w:p>
    <w:p>
      <w:pPr>
        <w:pStyle w:val="NormalWeb"/>
        <w:numPr>
          <w:ilvl w:val="0"/>
          <w:numId w:val="10"/>
        </w:numPr>
      </w:pPr>
      <w:r>
        <w:rPr>
          <w:b/>
          <w:bCs/>
        </w:rPr>
        <w:t>Architecture "</w:t>
      </w:r>
      <w:proofErr w:type="spellStart"/>
      <w:r>
        <w:rPr>
          <w:b/>
          <w:bCs/>
        </w:rPr>
        <w:t>Zero</w:t>
      </w:r>
      <w:proofErr w:type="spellEnd"/>
      <w:r>
        <w:rPr>
          <w:b/>
          <w:bCs/>
        </w:rPr>
        <w:t xml:space="preserve"> Inbound" :</w:t>
      </w:r>
      <w:r>
        <w:t xml:space="preserve"> Le service initie exclusivement des connexions sortantes (TCP </w:t>
      </w:r>
      <w:proofErr w:type="spellStart"/>
      <w:r>
        <w:t>Outbound</w:t>
      </w:r>
      <w:proofErr w:type="spellEnd"/>
      <w:r>
        <w:t xml:space="preserve"> port 443).</w:t>
      </w:r>
    </w:p>
    <w:p>
      <w:pPr>
        <w:pStyle w:val="NormalWeb"/>
        <w:numPr>
          <w:ilvl w:val="0"/>
          <w:numId w:val="10"/>
        </w:numPr>
      </w:pPr>
      <w:r>
        <w:rPr>
          <w:b/>
          <w:bCs/>
        </w:rPr>
        <w:t>Absence de DMZ :</w:t>
      </w:r>
      <w:r>
        <w:t xml:space="preserve"> Aucun port entrant n'est ouvert sur le pare-feu de l'établissement. Il n'y a pas d'exposition du réseau local vers l'Internet (pas de NAT/PAT).</w:t>
      </w:r>
    </w:p>
    <w:p>
      <w:pPr>
        <w:pStyle w:val="NormalWeb"/>
        <w:numPr>
          <w:ilvl w:val="0"/>
          <w:numId w:val="10"/>
        </w:numPr>
      </w:pPr>
      <w:r>
        <w:rPr>
          <w:b/>
          <w:bCs/>
        </w:rPr>
        <w:t>Standard de chiffrement :</w:t>
      </w:r>
      <w:r>
        <w:t xml:space="preserve"> Utilisation de </w:t>
      </w:r>
      <w:proofErr w:type="spellStart"/>
      <w:r>
        <w:rPr>
          <w:rStyle w:val="CodeHTML"/>
        </w:rPr>
        <w:t>HttpClient</w:t>
      </w:r>
      <w:proofErr w:type="spellEnd"/>
      <w:r>
        <w:t xml:space="preserve"> .NET avec négociation forcée </w:t>
      </w:r>
      <w:r>
        <w:rPr>
          <w:b/>
          <w:bCs/>
        </w:rPr>
        <w:t>TLS 1.2/1.3</w:t>
      </w:r>
      <w:r>
        <w:t>.</w:t>
      </w:r>
    </w:p>
    <w:p>
      <w:pPr>
        <w:pStyle w:val="Titre3"/>
      </w:pPr>
      <w:r>
        <w:t xml:space="preserve">2.2 Gestion des Secrets et </w:t>
      </w:r>
      <w:proofErr w:type="spellStart"/>
      <w:r>
        <w:t>Authentification</w:t>
      </w:r>
      <w:proofErr w:type="spellEnd"/>
    </w:p>
    <w:p>
      <w:pPr>
        <w:pStyle w:val="NormalWeb"/>
        <w:numPr>
          <w:ilvl w:val="0"/>
          <w:numId w:val="11"/>
        </w:numPr>
      </w:pPr>
      <w:r>
        <w:rPr>
          <w:b/>
          <w:bCs/>
        </w:rPr>
        <w:t>Double Authentification Technique :</w:t>
      </w:r>
      <w:r>
        <w:t xml:space="preserve"> L'accès au Cloud HDS repose sur un couple </w:t>
      </w:r>
      <w:r>
        <w:rPr>
          <w:rStyle w:val="CodeHTML"/>
        </w:rPr>
        <w:t>User/</w:t>
      </w:r>
      <w:proofErr w:type="spellStart"/>
      <w:r>
        <w:rPr>
          <w:rStyle w:val="CodeHTML"/>
        </w:rPr>
        <w:t>Token</w:t>
      </w:r>
      <w:proofErr w:type="spellEnd"/>
      <w:r>
        <w:t xml:space="preserve"> unique, transmis via Basic </w:t>
      </w:r>
      <w:proofErr w:type="spellStart"/>
      <w:r>
        <w:t>Auth</w:t>
      </w:r>
      <w:proofErr w:type="spellEnd"/>
      <w:r>
        <w:t xml:space="preserve"> sur canal HTTPS.</w:t>
      </w:r>
    </w:p>
    <w:p>
      <w:pPr>
        <w:pStyle w:val="NormalWeb"/>
        <w:numPr>
          <w:ilvl w:val="0"/>
          <w:numId w:val="11"/>
        </w:numPr>
      </w:pPr>
      <w:r>
        <w:rPr>
          <w:b/>
          <w:bCs/>
        </w:rPr>
        <w:lastRenderedPageBreak/>
        <w:t>Protection des configurations :</w:t>
      </w:r>
      <w:r>
        <w:t xml:space="preserve"> Le fichier </w:t>
      </w:r>
      <w:proofErr w:type="spellStart"/>
      <w:proofErr w:type="gramStart"/>
      <w:r>
        <w:rPr>
          <w:rStyle w:val="CodeHTML"/>
        </w:rPr>
        <w:t>appsettings.json</w:t>
      </w:r>
      <w:proofErr w:type="spellEnd"/>
      <w:proofErr w:type="gramEnd"/>
      <w:r>
        <w:t xml:space="preserve"> contient les paramètres de connexion.</w:t>
      </w:r>
    </w:p>
    <w:p>
      <w:pPr>
        <w:pStyle w:val="NormalWeb"/>
        <w:numPr>
          <w:ilvl w:val="1"/>
          <w:numId w:val="11"/>
        </w:numPr>
      </w:pPr>
      <w:r>
        <w:rPr>
          <w:i/>
          <w:iCs/>
        </w:rPr>
        <w:t>Sécurisation préconisée :</w:t>
      </w:r>
      <w:r>
        <w:t xml:space="preserve"> Les secrets peuvent être chiffrés via la </w:t>
      </w:r>
      <w:r>
        <w:rPr>
          <w:b/>
          <w:bCs/>
        </w:rPr>
        <w:t>DPAPI Windows</w:t>
      </w:r>
      <w:r>
        <w:t xml:space="preserve"> (Data Protection API), rendant les identifiants illisibles même en cas d'accès physique au fichier par un tiers.</w:t>
      </w:r>
    </w:p>
    <w:p>
      <w:pPr>
        <w:pStyle w:val="NormalWeb"/>
        <w:numPr>
          <w:ilvl w:val="1"/>
          <w:numId w:val="11"/>
        </w:numPr>
      </w:pPr>
      <w:r>
        <w:rPr>
          <w:i/>
          <w:iCs/>
        </w:rPr>
        <w:t>ACL NTFS :</w:t>
      </w:r>
      <w:r>
        <w:t xml:space="preserve"> Les droits d'accès au répertoire d'installation sont limités au compte </w:t>
      </w:r>
      <w:r>
        <w:rPr>
          <w:rStyle w:val="CodeHTML"/>
        </w:rPr>
        <w:t>SYSTEM</w:t>
      </w:r>
      <w:r>
        <w:t xml:space="preserve"> et aux administrateurs locaux.</w:t>
      </w:r>
    </w:p>
    <w:p>
      <w:pPr>
        <w:pStyle w:val="Titre3"/>
      </w:pPr>
      <w:r>
        <w:t xml:space="preserve">2.3 </w:t>
      </w:r>
      <w:proofErr w:type="spellStart"/>
      <w:r>
        <w:t>Privilèges</w:t>
      </w:r>
      <w:proofErr w:type="spellEnd"/>
      <w:r>
        <w:t xml:space="preserve"> </w:t>
      </w:r>
      <w:proofErr w:type="spellStart"/>
      <w:r>
        <w:t>Système</w:t>
      </w:r>
      <w:proofErr w:type="spellEnd"/>
      <w:r>
        <w:t xml:space="preserve"> et SMB</w:t>
      </w:r>
    </w:p>
    <w:p>
      <w:pPr>
        <w:pStyle w:val="NormalWeb"/>
        <w:numPr>
          <w:ilvl w:val="0"/>
          <w:numId w:val="12"/>
        </w:numPr>
      </w:pPr>
      <w:r>
        <w:rPr>
          <w:b/>
          <w:bCs/>
        </w:rPr>
        <w:t>Compte de Service Dédié :</w:t>
      </w:r>
      <w:r>
        <w:t xml:space="preserve"> Bien qu'exécutable en </w:t>
      </w:r>
      <w:proofErr w:type="spellStart"/>
      <w:r>
        <w:rPr>
          <w:rStyle w:val="CodeHTML"/>
        </w:rPr>
        <w:t>LocalSystem</w:t>
      </w:r>
      <w:proofErr w:type="spellEnd"/>
      <w:r>
        <w:t xml:space="preserve">, il est recommandé d'exécuter le service sous un </w:t>
      </w:r>
      <w:r>
        <w:rPr>
          <w:b/>
          <w:bCs/>
        </w:rPr>
        <w:t>Compte de Service AD managé (</w:t>
      </w:r>
      <w:proofErr w:type="spellStart"/>
      <w:r>
        <w:rPr>
          <w:b/>
          <w:bCs/>
        </w:rPr>
        <w:t>gMSA</w:t>
      </w:r>
      <w:proofErr w:type="spellEnd"/>
      <w:r>
        <w:rPr>
          <w:b/>
          <w:bCs/>
        </w:rPr>
        <w:t>)</w:t>
      </w:r>
      <w:r>
        <w:t xml:space="preserve"> ou un compte de service standard.</w:t>
      </w:r>
    </w:p>
    <w:p>
      <w:pPr>
        <w:pStyle w:val="NormalWeb"/>
        <w:numPr>
          <w:ilvl w:val="0"/>
          <w:numId w:val="12"/>
        </w:numPr>
      </w:pPr>
      <w:r>
        <w:rPr>
          <w:b/>
          <w:bCs/>
        </w:rPr>
        <w:t>Moindre Privilège :</w:t>
      </w:r>
      <w:r>
        <w:t xml:space="preserve"> Ce compte nécessite uniquement les droits de "Lecture/Écriture" sur le répertoire cible. Aucun droit d'administration sur le domaine ou la machine n'est requis.</w:t>
      </w:r>
    </w:p>
    <w:p>
      <w:pPr>
        <w:pStyle w:val="NormalWeb"/>
        <w:numPr>
          <w:ilvl w:val="0"/>
          <w:numId w:val="12"/>
        </w:numPr>
      </w:pPr>
      <w:r>
        <w:rPr>
          <w:b/>
          <w:bCs/>
        </w:rPr>
        <w:t>Sécurité SMB :</w:t>
      </w:r>
      <w:r>
        <w:t xml:space="preserve"> Le service supporte nativement le chiffrement </w:t>
      </w:r>
      <w:r>
        <w:rPr>
          <w:b/>
          <w:bCs/>
        </w:rPr>
        <w:t>SMB v3</w:t>
      </w:r>
      <w:r>
        <w:t>, garantissant que le flux entre le service de synchro et le stockage final reste protégé contre l'interception interne.</w:t>
      </w:r>
    </w:p>
    <w:p>
      <w:r>
        <w:pict>
          <v:rect id="_x0000_i1099" style="width:0;height:1.5pt" o:hralign="center" o:hrstd="t" o:hr="t" fillcolor="#a0a0a0" stroked="f"/>
        </w:pict>
      </w:r>
    </w:p>
    <w:p>
      <w:pPr>
        <w:pStyle w:val="Titre2"/>
      </w:pPr>
      <w:r>
        <w:t xml:space="preserve">3. </w:t>
      </w:r>
      <w:proofErr w:type="spellStart"/>
      <w:r>
        <w:t>Déploiement</w:t>
      </w:r>
      <w:proofErr w:type="spellEnd"/>
      <w:r>
        <w:t xml:space="preserve"> et Exploitation</w:t>
      </w:r>
    </w:p>
    <w:p>
      <w:pPr>
        <w:pStyle w:val="Titre3"/>
      </w:pPr>
      <w:r>
        <w:t xml:space="preserve">3.1 </w:t>
      </w:r>
      <w:proofErr w:type="spellStart"/>
      <w:r>
        <w:t>Industrialisation</w:t>
      </w:r>
      <w:proofErr w:type="spellEnd"/>
    </w:p>
    <w:p>
      <w:pPr>
        <w:pStyle w:val="NormalWeb"/>
        <w:numPr>
          <w:ilvl w:val="0"/>
          <w:numId w:val="13"/>
        </w:numPr>
      </w:pPr>
      <w:proofErr w:type="gramStart"/>
      <w:r>
        <w:rPr>
          <w:b/>
          <w:bCs/>
          <w:lang w:val="en-US"/>
        </w:rPr>
        <w:t>Packaging :</w:t>
      </w:r>
      <w:proofErr w:type="gramEnd"/>
      <w:r>
        <w:rPr>
          <w:lang w:val="en-US"/>
        </w:rPr>
        <w:t xml:space="preserve"> </w:t>
      </w:r>
      <w:proofErr w:type="spellStart"/>
      <w:r>
        <w:rPr>
          <w:lang w:val="en-US"/>
        </w:rPr>
        <w:t>Installateur</w:t>
      </w:r>
      <w:proofErr w:type="spellEnd"/>
      <w:r>
        <w:rPr>
          <w:lang w:val="en-US"/>
        </w:rPr>
        <w:t xml:space="preserve"> </w:t>
      </w:r>
      <w:r>
        <w:rPr>
          <w:rStyle w:val="CodeHTML"/>
          <w:lang w:val="en-US"/>
        </w:rPr>
        <w:t>.exe</w:t>
      </w:r>
      <w:r>
        <w:rPr>
          <w:lang w:val="en-US"/>
        </w:rPr>
        <w:t xml:space="preserve"> (</w:t>
      </w:r>
      <w:proofErr w:type="spellStart"/>
      <w:r>
        <w:rPr>
          <w:lang w:val="en-US"/>
        </w:rPr>
        <w:t>Inno</w:t>
      </w:r>
      <w:proofErr w:type="spellEnd"/>
      <w:r>
        <w:rPr>
          <w:lang w:val="en-US"/>
        </w:rPr>
        <w:t xml:space="preserve"> Setup). </w:t>
      </w:r>
    </w:p>
    <w:p>
      <w:pPr>
        <w:pStyle w:val="NormalWeb"/>
        <w:numPr>
          <w:ilvl w:val="0"/>
          <w:numId w:val="13"/>
        </w:numPr>
      </w:pPr>
      <w:r>
        <w:rPr>
          <w:b/>
          <w:bCs/>
        </w:rPr>
        <w:t>Signature numérique :</w:t>
      </w:r>
      <w:r>
        <w:t xml:space="preserve"> Non signée en phase pilote (signature commerciale avec certificat de </w:t>
      </w:r>
      <w:r>
        <w:rPr>
          <w:i/>
          <w:iCs/>
        </w:rPr>
        <w:t xml:space="preserve">Code </w:t>
      </w:r>
      <w:proofErr w:type="spellStart"/>
      <w:r>
        <w:rPr>
          <w:i/>
          <w:iCs/>
        </w:rPr>
        <w:t>Signing</w:t>
      </w:r>
      <w:proofErr w:type="spellEnd"/>
      <w:r>
        <w:t xml:space="preserve"> prévue pour l'industrialisation). L'intégrité du binaire est garantie par la fourniture de son </w:t>
      </w:r>
      <w:r>
        <w:rPr>
          <w:b/>
          <w:bCs/>
        </w:rPr>
        <w:t>empreinte SHA-256</w:t>
      </w:r>
      <w:r>
        <w:t xml:space="preserve"> pour vérification avant déploiement.</w:t>
      </w:r>
    </w:p>
    <w:p>
      <w:pPr>
        <w:pStyle w:val="NormalWeb"/>
        <w:numPr>
          <w:ilvl w:val="0"/>
          <w:numId w:val="13"/>
        </w:numPr>
      </w:pPr>
      <w:r>
        <w:rPr>
          <w:b/>
          <w:bCs/>
        </w:rPr>
        <w:t>Déploiement Centralisé :</w:t>
      </w:r>
      <w:r>
        <w:t xml:space="preserve"> Compatible avec les outils de télédistribution (SCCM, GPO, Intune) via le mode silencieux (</w:t>
      </w:r>
      <w:r>
        <w:rPr>
          <w:rStyle w:val="CodeHTML"/>
        </w:rPr>
        <w:t>/VERYSILENT</w:t>
      </w:r>
      <w:r>
        <w:t>).</w:t>
      </w:r>
    </w:p>
    <w:p>
      <w:pPr>
        <w:pStyle w:val="Titre3"/>
      </w:pPr>
      <w:r>
        <w:t>3.2 Supervision (</w:t>
      </w:r>
      <w:proofErr w:type="spellStart"/>
      <w:r>
        <w:t>Observabilité</w:t>
      </w:r>
      <w:proofErr w:type="spellEnd"/>
      <w:r>
        <w:t>)</w:t>
      </w:r>
    </w:p>
    <w:p>
      <w:pPr>
        <w:pStyle w:val="NormalWeb"/>
        <w:numPr>
          <w:ilvl w:val="0"/>
          <w:numId w:val="14"/>
        </w:numPr>
      </w:pPr>
      <w:r>
        <w:rPr>
          <w:b/>
          <w:bCs/>
        </w:rPr>
        <w:t>Logs Applicatifs :</w:t>
      </w:r>
      <w:r>
        <w:t xml:space="preserve"> Intégration complète à l'Observateur d'événements Windows (Source : </w:t>
      </w:r>
      <w:proofErr w:type="spellStart"/>
      <w:r>
        <w:rPr>
          <w:rStyle w:val="CodeHTML"/>
        </w:rPr>
        <w:t>MacroscopixSync</w:t>
      </w:r>
      <w:proofErr w:type="spellEnd"/>
      <w:r>
        <w:t>).</w:t>
      </w:r>
    </w:p>
    <w:p>
      <w:pPr>
        <w:pStyle w:val="NormalWeb"/>
        <w:numPr>
          <w:ilvl w:val="0"/>
          <w:numId w:val="14"/>
        </w:numPr>
      </w:pPr>
      <w:proofErr w:type="spellStart"/>
      <w:r>
        <w:rPr>
          <w:b/>
          <w:bCs/>
        </w:rPr>
        <w:t>Alerting</w:t>
      </w:r>
      <w:proofErr w:type="spellEnd"/>
      <w:r>
        <w:rPr>
          <w:b/>
          <w:bCs/>
        </w:rPr>
        <w:t xml:space="preserve"> DSI :</w:t>
      </w:r>
      <w:r>
        <w:t xml:space="preserve"> Les codes erreurs standards (Échec de connexion, Quota disque plein, Erreur d'écriture) sont exploitables par les outils de supervision (Zabbix, Nagios, SCOM)</w:t>
      </w:r>
      <w:r>
        <w:t>.</w:t>
      </w:r>
    </w:p>
    <w:p>
      <w:r>
        <w:pict>
          <v:rect id="_x0000_i1100" style="width:0;height:1.5pt" o:hralign="center" o:hrstd="t" o:hr="t" fillcolor="#a0a0a0" stroked="f"/>
        </w:pict>
      </w:r>
    </w:p>
    <w:p>
      <w:pPr>
        <w:pStyle w:val="Titre2"/>
        <w:rPr>
          <w:lang w:val="fr-FR"/>
        </w:rPr>
      </w:pPr>
      <w:r>
        <w:rPr>
          <w:lang w:val="fr-FR"/>
        </w:rPr>
        <w:lastRenderedPageBreak/>
        <w:t>4. Conclusion</w:t>
      </w:r>
    </w:p>
    <w:p>
      <w:pPr>
        <w:pStyle w:val="NormalWeb"/>
      </w:pPr>
      <w:r>
        <w:t xml:space="preserve">Le module </w:t>
      </w:r>
      <w:proofErr w:type="spellStart"/>
      <w:r>
        <w:t>MacroscopixSync</w:t>
      </w:r>
      <w:proofErr w:type="spellEnd"/>
      <w:r>
        <w:t xml:space="preserve"> agit comme une "valve de sécurité" unidirectionnelle. En rapatriant les données via un mécanisme de Pull sécurisé, il garantit la souveraineté des données de santé qui ne transitent que temporairement par la zone HDS</w:t>
      </w:r>
      <w:r>
        <w:t>/</w:t>
      </w:r>
      <w:proofErr w:type="spellStart"/>
      <w:r>
        <w:t>WebDav</w:t>
      </w:r>
      <w:proofErr w:type="spellEnd"/>
      <w:r>
        <w:t>. Sa conception robuste en .NET 8 assure une compatibilité à long terme avec les politiques de durcissement.</w:t>
      </w:r>
    </w:p>
    <w:sectPr>
      <w:pgSz w:w="12240" w:h="15840"/>
      <w:pgMar w:top="1440" w:right="1440" w:bottom="1440" w:left="1440" w:header="360" w:footer="36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9C0EFDF9-C30F-4ECA-A3BF-D6DA0621A1E3}"/>
    <w:embedBold r:id="rId2" w:fontKey="{13BB1BB5-EA47-41AC-A7D2-01A84E5C1AF5}"/>
    <w:embedItalic r:id="rId3" w:fontKey="{E1CF4FAC-7A64-4FC5-BA91-6BE1D57719E8}"/>
  </w:font>
  <w:font w:name="Calibri">
    <w:panose1 w:val="020F0502020204030204"/>
    <w:charset w:val="00"/>
    <w:family w:val="swiss"/>
    <w:pitch w:val="variable"/>
    <w:sig w:usb0="E4002EFF" w:usb1="C000247B" w:usb2="00000009" w:usb3="00000000" w:csb0="000001FF" w:csb1="00000000"/>
    <w:embedRegular r:id="rId4" w:fontKey="{3E4DC996-618C-49F6-8B05-877AD734B6A1}"/>
    <w:embedBold r:id="rId5" w:fontKey="{720E97D8-5DB5-4B67-AAB6-B2E6BA7E2E7C}"/>
    <w:embedItalic r:id="rId6" w:fontKey="{E91B1F9B-ECDA-4122-9477-B9D4C49092B5}"/>
  </w:font>
  <w:font w:name="Consolas">
    <w:panose1 w:val="020B0609020204030204"/>
    <w:charset w:val="00"/>
    <w:family w:val="modern"/>
    <w:pitch w:val="fixed"/>
    <w:sig w:usb0="E00006FF" w:usb1="0000FCFF" w:usb2="00000001" w:usb3="00000000" w:csb0="0000019F" w:csb1="00000000"/>
    <w:embedRegular r:id="rId7" w:fontKey="{18CE3938-27E1-4A8C-B9F0-5E557B25A967}"/>
    <w:embedBold r:id="rId8" w:fontKey="{07461C1F-F88F-4785-974F-BB7FD125B8E0}"/>
    <w:embedItalic r:id="rId9" w:fontKey="{8B7E48BF-3613-4062-9106-A1A1612680DB}"/>
    <w:embedBoldItalic r:id="rId10" w:fontKey="{1F3006FF-07AA-49A6-89EC-74CF04E03F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70BE2"/>
    <w:multiLevelType w:val="multilevel"/>
    <w:tmpl w:val="F7C618C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1FC4932"/>
    <w:multiLevelType w:val="multilevel"/>
    <w:tmpl w:val="93C6AF5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7DB031C"/>
    <w:multiLevelType w:val="multilevel"/>
    <w:tmpl w:val="F3FCA8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CCC2EF8"/>
    <w:multiLevelType w:val="multilevel"/>
    <w:tmpl w:val="1FB81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BB00CD"/>
    <w:multiLevelType w:val="multilevel"/>
    <w:tmpl w:val="CF8C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E7972"/>
    <w:multiLevelType w:val="multilevel"/>
    <w:tmpl w:val="9666593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3C7D4BCB"/>
    <w:multiLevelType w:val="multilevel"/>
    <w:tmpl w:val="02C21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8938C8"/>
    <w:multiLevelType w:val="multilevel"/>
    <w:tmpl w:val="297C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F30446"/>
    <w:multiLevelType w:val="multilevel"/>
    <w:tmpl w:val="3FD057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 w15:restartNumberingAfterBreak="0">
    <w:nsid w:val="5FE76813"/>
    <w:multiLevelType w:val="multilevel"/>
    <w:tmpl w:val="F64AFC0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61C20FD2"/>
    <w:multiLevelType w:val="multilevel"/>
    <w:tmpl w:val="2620E01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695E188C"/>
    <w:multiLevelType w:val="multilevel"/>
    <w:tmpl w:val="D4F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307920"/>
    <w:multiLevelType w:val="multilevel"/>
    <w:tmpl w:val="3754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9C5B93"/>
    <w:multiLevelType w:val="multilevel"/>
    <w:tmpl w:val="B27CCDF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4">
    <w:abstractNumId w:val="13"/>
  </w:num>
  <w:num w:numId="5">
    <w:abstractNumId w:val="5"/>
  </w:num>
  <w:num w:numId="6">
    <w:abstractNumId w:val="10"/>
  </w:num>
  <w:num w:numId="7">
    <w:abstractNumId w:val="9"/>
  </w:num>
  <w:num w:numId="8">
    <w:abstractNumId w:val="8"/>
  </w:num>
  <w:num w:numId="9">
    <w:abstractNumId w:val="3"/>
  </w:num>
  <w:num w:numId="10">
    <w:abstractNumId w:val="12"/>
  </w:num>
  <w:num w:numId="11">
    <w:abstractNumId w:val="6"/>
  </w:num>
  <w:num w:numId="12">
    <w:abstractNumId w:val="7"/>
  </w:num>
  <w:num w:numId="13">
    <w:abstractNumId w:val="1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DC86496-CAEF-45C5-8701-CE394EE34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4"/>
        <w:szCs w:val="24"/>
        <w:lang w:val="en" w:eastAsia="fr-FR"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0"/>
      <w:outlineLvl w:val="0"/>
    </w:pPr>
    <w:rPr>
      <w:rFonts w:ascii="Calibri" w:eastAsia="Calibri" w:hAnsi="Calibri" w:cs="Calibri"/>
      <w:b/>
      <w:bCs/>
      <w:color w:val="4F81BD"/>
      <w:sz w:val="32"/>
      <w:szCs w:val="32"/>
    </w:rPr>
  </w:style>
  <w:style w:type="paragraph" w:styleId="Titre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8"/>
      <w:szCs w:val="28"/>
    </w:rPr>
  </w:style>
  <w:style w:type="paragraph" w:styleId="Titre3">
    <w:name w:val="heading 3"/>
    <w:basedOn w:val="Normal"/>
    <w:next w:val="Normal"/>
    <w:uiPriority w:val="9"/>
    <w:unhideWhenUsed/>
    <w:qFormat/>
    <w:pPr>
      <w:keepNext/>
      <w:keepLines/>
      <w:spacing w:before="200" w:after="0"/>
      <w:outlineLvl w:val="2"/>
    </w:pPr>
    <w:rPr>
      <w:rFonts w:ascii="Calibri" w:eastAsia="Calibri" w:hAnsi="Calibri" w:cs="Calibri"/>
      <w:b/>
      <w:bCs/>
      <w:color w:val="4F81BD"/>
    </w:rPr>
  </w:style>
  <w:style w:type="paragraph" w:styleId="Titre4">
    <w:name w:val="heading 4"/>
    <w:basedOn w:val="Normal"/>
    <w:next w:val="Normal"/>
    <w:uiPriority w:val="9"/>
    <w:semiHidden/>
    <w:unhideWhenUsed/>
    <w:qFormat/>
    <w:pPr>
      <w:keepNext/>
      <w:keepLines/>
      <w:spacing w:before="200" w:after="0"/>
      <w:outlineLvl w:val="3"/>
    </w:pPr>
    <w:rPr>
      <w:rFonts w:ascii="Calibri" w:eastAsia="Calibri" w:hAnsi="Calibri" w:cs="Calibri"/>
      <w:i/>
      <w:iCs/>
      <w:color w:val="4F81BD"/>
    </w:rPr>
  </w:style>
  <w:style w:type="paragraph" w:styleId="Titre5">
    <w:name w:val="heading 5"/>
    <w:basedOn w:val="Normal"/>
    <w:next w:val="Normal"/>
    <w:uiPriority w:val="9"/>
    <w:semiHidden/>
    <w:unhideWhenUsed/>
    <w:qFormat/>
    <w:pPr>
      <w:keepNext/>
      <w:keepLines/>
      <w:spacing w:before="200" w:after="0"/>
      <w:outlineLvl w:val="4"/>
    </w:pPr>
    <w:rPr>
      <w:rFonts w:ascii="Calibri" w:eastAsia="Calibri" w:hAnsi="Calibri" w:cs="Calibri"/>
      <w:color w:val="4F81BD"/>
    </w:rPr>
  </w:style>
  <w:style w:type="paragraph" w:styleId="Titre6">
    <w:name w:val="heading 6"/>
    <w:basedOn w:val="Normal"/>
    <w:next w:val="Normal"/>
    <w:uiPriority w:val="9"/>
    <w:semiHidden/>
    <w:unhideWhenUsed/>
    <w:qFormat/>
    <w:pPr>
      <w:keepNext/>
      <w:keepLines/>
      <w:spacing w:before="200" w:after="0"/>
      <w:outlineLvl w:val="5"/>
    </w:pPr>
    <w:rPr>
      <w:rFonts w:ascii="Calibri" w:eastAsia="Calibri" w:hAnsi="Calibri" w:cs="Calibri"/>
      <w:color w:val="4F81BD"/>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240"/>
      <w:jc w:val="center"/>
    </w:pPr>
    <w:rPr>
      <w:rFonts w:ascii="Calibri" w:eastAsia="Calibri" w:hAnsi="Calibri" w:cs="Calibri"/>
      <w:b/>
      <w:bCs/>
      <w:color w:val="335B8A"/>
      <w:sz w:val="36"/>
      <w:szCs w:val="36"/>
    </w:rPr>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ous-titre">
    <w:name w:val="Subtitle"/>
    <w:basedOn w:val="Normal"/>
    <w:next w:val="Normal"/>
    <w:uiPriority w:val="11"/>
    <w:qFormat/>
    <w:pPr>
      <w:keepNext/>
      <w:keepLines/>
      <w:spacing w:before="240" w:after="240"/>
      <w:jc w:val="center"/>
    </w:pPr>
    <w:rPr>
      <w:rFonts w:ascii="Calibri" w:eastAsia="Calibri" w:hAnsi="Calibri" w:cs="Calibri"/>
      <w:b/>
      <w:bCs/>
      <w:color w:val="335B8A"/>
      <w:sz w:val="30"/>
      <w:szCs w:val="3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lang w:val="fr-FR"/>
    </w:rPr>
  </w:style>
  <w:style w:type="character" w:styleId="CodeHTML">
    <w:name w:val="HTML Code"/>
    <w:basedOn w:val="Policepardfaut"/>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787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ViF5c9FegzafbA6/+rNo/Ileng==">CgMxLjAyD2lkLm5jbzFrZmdpdzNyeDIPaWQuN21mODAxYWFzYXlqMg9pZC5pNmZ0ZG4yeHdiMzEyD2lkLm13amJxNHl2ejR5ejIPaWQudjh2azMxcWtlbDEwMg9pZC54M28xZXd1ZHlueHMyD2lkLmJ5OTJtOHZ4ZXU1ODIPaWQubDZxeXhvMmdsczBlMg9pZC5teDVtODUyMjNnbmIyD2lkLmNrMDMxaTU2dHl3ZDIPaWQubGc4OGZmcGlmbjA5OAByITFHVjc2RlA0eXJEOHIxUFBCQ1dtNlg5YTZPLXl1WVU2Y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Pages>
  <Words>625</Words>
  <Characters>3439</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CHU de Besancon</Company>
  <LinksUpToDate>false</LinksUpToDate>
  <CharactersWithSpaces>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Franck MONNIEN (CHUB)</cp:lastModifiedBy>
  <cp:revision>2</cp:revision>
  <dcterms:created xsi:type="dcterms:W3CDTF">2026-01-19T15:53:00Z</dcterms:created>
  <dcterms:modified xsi:type="dcterms:W3CDTF">2026-01-23T09:52:00Z</dcterms:modified>
</cp:coreProperties>
</file>