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93347fd9b144e512a275f203bbe96bcaeaa75d9"/>
    <w:p>
      <w:pPr>
        <w:pStyle w:val="Heading1"/>
      </w:pPr>
      <w:r>
        <w:t xml:space="preserve">Audit Technique : Conformité &amp; Hébergement HDS (MacroscopiX)</w:t>
      </w:r>
    </w:p>
    <w:p>
      <w:pPr>
        <w:pStyle w:val="FirstParagraph"/>
      </w:pPr>
      <w:r>
        <w:rPr>
          <w:b/>
          <w:bCs/>
        </w:rPr>
        <w:t xml:space="preserve">Document :</w:t>
      </w:r>
      <w:r>
        <w:t xml:space="preserve"> </w:t>
      </w:r>
      <w:r>
        <w:t xml:space="preserve">Fiche de Conformité Réglementaire Hébergement de Données de Santé (HDS)</w:t>
      </w:r>
      <w:r>
        <w:br/>
      </w:r>
      <w:r>
        <w:rPr>
          <w:b/>
          <w:bCs/>
        </w:rPr>
        <w:t xml:space="preserve">Version :</w:t>
      </w:r>
      <w:r>
        <w:t xml:space="preserve"> </w:t>
      </w:r>
      <w:r>
        <w:t xml:space="preserve">2.5 (Production - Octobre 2026)</w:t>
      </w:r>
      <w:r>
        <w:br/>
      </w:r>
      <w:r>
        <w:rPr>
          <w:b/>
          <w:bCs/>
        </w:rPr>
        <w:t xml:space="preserve">Destinataires :</w:t>
      </w:r>
      <w:r>
        <w:t xml:space="preserve"> </w:t>
      </w:r>
      <w:r>
        <w:t xml:space="preserve">RSSI, DPO, DSI des Établissements de Santé (CHU, CH, ESPIC)</w:t>
      </w:r>
    </w:p>
    <w:p>
      <w:r>
        <w:pict>
          <v:rect style="width:0;height:1.5pt" o:hralign="center" o:hrstd="t" o:hr="t"/>
        </w:pict>
      </w:r>
    </w:p>
    <w:bookmarkStart w:id="9" w:name="cadre-légal-et-réglementaire"/>
    <w:p>
      <w:pPr>
        <w:pStyle w:val="Heading2"/>
      </w:pPr>
      <w:r>
        <w:t xml:space="preserve">1. Cadre Légal et Réglementaire</w:t>
      </w:r>
    </w:p>
    <w:p>
      <w:pPr>
        <w:pStyle w:val="FirstParagraph"/>
      </w:pPr>
      <w:r>
        <w:t xml:space="preserve">Conformément à l’</w:t>
      </w:r>
      <w:r>
        <w:rPr>
          <w:b/>
          <w:bCs/>
        </w:rPr>
        <w:t xml:space="preserve">article L. 1111-8 du Code de la Santé Publique</w:t>
      </w:r>
      <w:r>
        <w:t xml:space="preserve"> </w:t>
      </w:r>
      <w:r>
        <w:t xml:space="preserve">et au</w:t>
      </w:r>
      <w:r>
        <w:t xml:space="preserve"> </w:t>
      </w:r>
      <w:r>
        <w:rPr>
          <w:b/>
          <w:bCs/>
        </w:rPr>
        <w:t xml:space="preserve">décret n° 2018-137 du 26 février 2018</w:t>
      </w:r>
      <w:r>
        <w:t xml:space="preserve">, tout hébergement de données de santé à caractère personnel recueillies lors d’activités de prévention, de diagnostic, de soins ou de suivi médico-social doit obligatoirement être confié à un organisme certifié</w:t>
      </w:r>
      <w:r>
        <w:t xml:space="preserve"> </w:t>
      </w:r>
      <w:r>
        <w:rPr>
          <w:b/>
          <w:bCs/>
        </w:rPr>
        <w:t xml:space="preserve">HDS (Hébergeur de Données de Santé)</w:t>
      </w:r>
      <w:r>
        <w:t xml:space="preserve">.</w:t>
      </w:r>
    </w:p>
    <w:p>
      <w:pPr>
        <w:pStyle w:val="BodyText"/>
      </w:pPr>
      <w:r>
        <w:t xml:space="preserve">L’architecture Cloud de transit de MacroscopiX repose</w:t>
      </w:r>
      <w:r>
        <w:t xml:space="preserve"> </w:t>
      </w:r>
      <w:r>
        <w:rPr>
          <w:b/>
          <w:bCs/>
        </w:rPr>
        <w:t xml:space="preserve">exclusivement sur des sous-traitants d’infrastructure titulaires d’un certificat HDS v2.0 en cours de validité</w:t>
      </w:r>
      <w:r>
        <w:t xml:space="preserve">, vérifiables sur le registre national officiel de l’</w:t>
      </w:r>
      <w:r>
        <w:rPr>
          <w:b/>
          <w:bCs/>
        </w:rPr>
        <w:t xml:space="preserve">Agence du Numérique en Santé (ANS)</w:t>
      </w:r>
      <w:r>
        <w:t xml:space="preserve">.</w:t>
      </w:r>
    </w:p>
    <w:p>
      <w:r>
        <w:pict>
          <v:rect style="width:0;height:1.5pt" o:hralign="center" o:hrstd="t" o:hr="t"/>
        </w:pict>
      </w:r>
    </w:p>
    <w:bookmarkEnd w:id="9"/>
    <w:bookmarkStart w:id="11" w:name="X752e1fe1ed812adc32da34342980aa4d51ff2ca"/>
    <w:p>
      <w:pPr>
        <w:pStyle w:val="Heading2"/>
      </w:pPr>
      <w:r>
        <w:t xml:space="preserve">2. Registre des Prestataires d’Infrastructure et Certifications</w:t>
      </w:r>
    </w:p>
    <w:p>
      <w:pPr>
        <w:pStyle w:val="FirstParagraph"/>
      </w:pPr>
      <w:r>
        <w:t xml:space="preserve">Toutes les données de santé transitant par MacroscopiX sont traitées et stockées</w:t>
      </w:r>
      <w:r>
        <w:t xml:space="preserve"> </w:t>
      </w:r>
      <w:r>
        <w:rPr>
          <w:b/>
          <w:bCs/>
        </w:rPr>
        <w:t xml:space="preserve">100 % sur le territoire français</w:t>
      </w:r>
      <w:r>
        <w:t xml:space="preserve">, sous souveraineté juridique européenne (RGPD), sans transfert vers des juridictions tierces.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Fournisseur</w:t>
            </w:r>
          </w:p>
        </w:tc>
        <w:tc>
          <w:tcPr/>
          <w:p>
            <w:pPr>
              <w:pStyle w:val="Compact"/>
            </w:pPr>
            <w:r>
              <w:t xml:space="preserve">Rôle dans l’Architecture</w:t>
            </w:r>
          </w:p>
        </w:tc>
        <w:tc>
          <w:tcPr/>
          <w:p>
            <w:pPr>
              <w:pStyle w:val="Compact"/>
            </w:pPr>
            <w:r>
              <w:t xml:space="preserve">Datacenters</w:t>
            </w:r>
          </w:p>
        </w:tc>
        <w:tc>
          <w:tcPr/>
          <w:p>
            <w:pPr>
              <w:pStyle w:val="Compact"/>
            </w:pPr>
            <w:r>
              <w:t xml:space="preserve">Certifications Détenues (Référentiel ANS HDS v2.0)</w:t>
            </w:r>
          </w:p>
        </w:tc>
        <w:tc>
          <w:tcPr/>
          <w:p>
            <w:pPr>
              <w:pStyle w:val="Compact"/>
            </w:pPr>
            <w:r>
              <w:t xml:space="preserve">Organisme Certificateur</w:t>
            </w:r>
          </w:p>
        </w:tc>
        <w:tc>
          <w:tcPr/>
          <w:p>
            <w:pPr>
              <w:pStyle w:val="Compact"/>
            </w:pPr>
            <w:r>
              <w:t xml:space="preserve">Référencement Officiel ANS</w:t>
            </w:r>
          </w:p>
        </w:tc>
      </w:tr>
      <w:tr>
        <w:tc>
          <w:tcPr/>
          <w:p>
            <w:pPr>
              <w:pStyle w:val="Compact"/>
            </w:pPr>
            <w:r>
              <w:rPr>
                <w:b/>
                <w:bCs/>
              </w:rPr>
              <w:t xml:space="preserve">SCALINGO</w:t>
            </w:r>
            <w:r>
              <w:t xml:space="preserve"> </w:t>
            </w:r>
            <w:r>
              <w:t xml:space="preserve">(Scalingo SAS)</w:t>
            </w:r>
          </w:p>
        </w:tc>
        <w:tc>
          <w:tcPr/>
          <w:p>
            <w:pPr>
              <w:pStyle w:val="Compact"/>
            </w:pPr>
            <w:r>
              <w:rPr>
                <w:b/>
                <w:bCs/>
              </w:rPr>
              <w:t xml:space="preserve">Serveur de Calcul WebDAV</w:t>
            </w:r>
            <w:r>
              <w:t xml:space="preserve"> </w:t>
            </w:r>
            <w:r>
              <w:t xml:space="preserve">(Compute, traitement en mémoire vive RAM)</w:t>
            </w:r>
          </w:p>
        </w:tc>
        <w:tc>
          <w:tcPr/>
          <w:p>
            <w:pPr>
              <w:pStyle w:val="Compact"/>
            </w:pPr>
            <w:r>
              <w:t xml:space="preserve">Paris / Roubaix (France)</w:t>
            </w:r>
          </w:p>
        </w:tc>
        <w:tc>
          <w:tcPr/>
          <w:p>
            <w:pPr>
              <w:pStyle w:val="Compact"/>
            </w:pPr>
            <w:r>
              <w:t xml:space="preserve">•</w:t>
            </w:r>
            <w:r>
              <w:t xml:space="preserve"> </w:t>
            </w:r>
            <w:r>
              <w:rPr>
                <w:b/>
                <w:bCs/>
              </w:rPr>
              <w:t xml:space="preserve">HDS v2.0 : Activités 1, 2, 3, 4, 5, 6</w:t>
            </w:r>
            <w:r>
              <w:t xml:space="preserve">• Hébergeur d’Infrastructures &amp; Infogéreur</w:t>
            </w:r>
            <w:r>
              <w:t xml:space="preserve">•</w:t>
            </w:r>
            <w:r>
              <w:t xml:space="preserve"> </w:t>
            </w:r>
            <w:r>
              <w:rPr>
                <w:b/>
                <w:bCs/>
              </w:rPr>
              <w:t xml:space="preserve">ISO 27001:2022</w:t>
            </w:r>
          </w:p>
        </w:tc>
        <w:tc>
          <w:tcPr/>
          <w:p>
            <w:pPr>
              <w:pStyle w:val="Compact"/>
            </w:pPr>
            <w:r>
              <w:rPr>
                <w:b/>
                <w:bCs/>
              </w:rPr>
              <w:t xml:space="preserve">BYCYB</w:t>
            </w:r>
          </w:p>
        </w:tc>
        <w:tc>
          <w:tcPr/>
          <w:p>
            <w:pPr>
              <w:pStyle w:val="Compact"/>
            </w:pPr>
            <w:hyperlink r:id="rId10">
              <w:r>
                <w:rPr>
                  <w:rStyle w:val="Hyperlink"/>
                </w:rPr>
                <w:t xml:space="preserve">Fiche officielle ANS</w:t>
              </w:r>
            </w:hyperlink>
          </w:p>
        </w:tc>
      </w:tr>
      <w:tr>
        <w:tc>
          <w:tcPr/>
          <w:p>
            <w:pPr>
              <w:pStyle w:val="Compact"/>
            </w:pPr>
            <w:r>
              <w:rPr>
                <w:b/>
                <w:bCs/>
              </w:rPr>
              <w:t xml:space="preserve">SCALEWAY</w:t>
            </w:r>
            <w:r>
              <w:t xml:space="preserve"> </w:t>
            </w:r>
            <w:r>
              <w:t xml:space="preserve">(Scaleway SAS - Groupe iliad)</w:t>
            </w:r>
          </w:p>
        </w:tc>
        <w:tc>
          <w:tcPr/>
          <w:p>
            <w:pPr>
              <w:pStyle w:val="Compact"/>
            </w:pPr>
            <w:r>
              <w:rPr>
                <w:b/>
                <w:bCs/>
              </w:rPr>
              <w:t xml:space="preserve">Stockage Objet S3 HDS</w:t>
            </w:r>
            <w:r>
              <w:t xml:space="preserve"> </w:t>
            </w:r>
            <w:r>
              <w:t xml:space="preserve">(Chiffrement AES-256 natif au repos, rétention tampon)</w:t>
            </w:r>
          </w:p>
        </w:tc>
        <w:tc>
          <w:tcPr/>
          <w:p>
            <w:pPr>
              <w:pStyle w:val="Compact"/>
            </w:pPr>
            <w:r>
              <w:t xml:space="preserve">Région Paris</w:t>
            </w:r>
            <w:r>
              <w:t xml:space="preserve"> </w:t>
            </w:r>
            <w:r>
              <w:rPr>
                <w:rStyle w:val="VerbatimChar"/>
              </w:rPr>
              <w:t xml:space="preserve">fr-par</w:t>
            </w:r>
            <w:r>
              <w:t xml:space="preserve"> </w:t>
            </w:r>
            <w:r>
              <w:t xml:space="preserve">/ DC2-DC3-DC5 (France)</w:t>
            </w:r>
          </w:p>
        </w:tc>
        <w:tc>
          <w:tcPr/>
          <w:p>
            <w:pPr>
              <w:pStyle w:val="Compact"/>
            </w:pPr>
            <w:r>
              <w:t xml:space="preserve">•</w:t>
            </w:r>
            <w:r>
              <w:t xml:space="preserve"> </w:t>
            </w:r>
            <w:r>
              <w:rPr>
                <w:b/>
                <w:bCs/>
              </w:rPr>
              <w:t xml:space="preserve">HDS v2.0 : Activités 1, 2, 3, 4</w:t>
            </w:r>
            <w:r>
              <w:t xml:space="preserve"> </w:t>
            </w:r>
            <w:r>
              <w:t xml:space="preserve">(Hébergeur d’Infrastructure Physique et Virtuelle)</w:t>
            </w:r>
            <w:r>
              <w:t xml:space="preserve">•</w:t>
            </w:r>
            <w:r>
              <w:t xml:space="preserve"> </w:t>
            </w:r>
            <w:r>
              <w:rPr>
                <w:b/>
                <w:bCs/>
              </w:rPr>
              <w:t xml:space="preserve">ISO 27001:2022</w:t>
            </w:r>
            <w:r>
              <w:t xml:space="preserve"> </w:t>
            </w:r>
            <w:r>
              <w:t xml:space="preserve">/ ISO 50001</w:t>
            </w:r>
          </w:p>
        </w:tc>
        <w:tc>
          <w:tcPr/>
          <w:p>
            <w:pPr>
              <w:pStyle w:val="Compact"/>
            </w:pPr>
            <w:r>
              <w:rPr>
                <w:b/>
                <w:bCs/>
              </w:rPr>
              <w:t xml:space="preserve">BSI Group</w:t>
            </w:r>
          </w:p>
        </w:tc>
        <w:tc>
          <w:tcPr/>
          <w:p>
            <w:pPr>
              <w:pStyle w:val="Compact"/>
            </w:pPr>
            <w:hyperlink r:id="rId10">
              <w:r>
                <w:rPr>
                  <w:rStyle w:val="Hyperlink"/>
                </w:rPr>
                <w:t xml:space="preserve">Fiche officielle ANS</w:t>
              </w:r>
            </w:hyperlink>
          </w:p>
        </w:tc>
      </w:tr>
      <w:tr>
        <w:tc>
          <w:tcPr/>
          <w:p>
            <w:pPr>
              <w:pStyle w:val="Compact"/>
            </w:pPr>
            <w:r>
              <w:rPr>
                <w:b/>
                <w:bCs/>
              </w:rPr>
              <w:t xml:space="preserve">INFOMANIAK</w:t>
            </w:r>
            <w:r>
              <w:t xml:space="preserve"> </w:t>
            </w:r>
            <w:r>
              <w:t xml:space="preserve">(Infomaniak Network SA)</w:t>
            </w:r>
          </w:p>
        </w:tc>
        <w:tc>
          <w:tcPr/>
          <w:p>
            <w:pPr>
              <w:pStyle w:val="Compact"/>
            </w:pPr>
            <w:r>
              <w:rPr>
                <w:b/>
                <w:bCs/>
              </w:rPr>
              <w:t xml:space="preserve">Serveur d’Enrôlement / Gestion Admin</w:t>
            </w:r>
            <w:r>
              <w:t xml:space="preserve"> </w:t>
            </w:r>
            <w:r>
              <w:rPr>
                <w:i/>
                <w:iCs/>
              </w:rPr>
              <w:t xml:space="preserve">(Hors périmètre HDS : 0 donnée de santé)</w:t>
            </w:r>
          </w:p>
        </w:tc>
        <w:tc>
          <w:tcPr/>
          <w:p>
            <w:pPr>
              <w:pStyle w:val="Compact"/>
            </w:pPr>
            <w:r>
              <w:t xml:space="preserve">Genève (Suisse, adéquation RGPD)</w:t>
            </w:r>
          </w:p>
        </w:tc>
        <w:tc>
          <w:tcPr/>
          <w:p>
            <w:pPr>
              <w:pStyle w:val="Compact"/>
            </w:pPr>
            <w:r>
              <w:t xml:space="preserve">•</w:t>
            </w:r>
            <w:r>
              <w:t xml:space="preserve"> </w:t>
            </w:r>
            <w:r>
              <w:rPr>
                <w:b/>
                <w:bCs/>
              </w:rPr>
              <w:t xml:space="preserve">ISO 27001</w:t>
            </w:r>
            <w:r>
              <w:t xml:space="preserve">•</w:t>
            </w:r>
            <w:r>
              <w:t xml:space="preserve"> </w:t>
            </w:r>
            <w:r>
              <w:rPr>
                <w:b/>
                <w:bCs/>
              </w:rPr>
              <w:t xml:space="preserve">ISO 9001</w:t>
            </w:r>
            <w:r>
              <w:t xml:space="preserve">• Tier III+ souverain</w:t>
            </w:r>
          </w:p>
        </w:tc>
        <w:tc>
          <w:tcPr/>
          <w:p>
            <w:pPr>
              <w:pStyle w:val="Compact"/>
            </w:pPr>
            <w:r>
              <w:t xml:space="preserve">SQS</w:t>
            </w:r>
          </w:p>
        </w:tc>
        <w:tc>
          <w:tcPr/>
          <w:p>
            <w:pPr>
              <w:pStyle w:val="Compact"/>
            </w:pPr>
            <w:r>
              <w:rPr>
                <w:i/>
                <w:iCs/>
              </w:rPr>
              <w:t xml:space="preserve">N/A (Métadonnées techniques)</w:t>
            </w:r>
          </w:p>
        </w:tc>
      </w:tr>
    </w:tbl>
    <w:p>
      <w:pPr>
        <w:pStyle w:val="BlockText"/>
      </w:pPr>
      <w:r>
        <w:rPr>
          <w:b/>
          <w:bCs/>
        </w:rPr>
        <w:t xml:space="preserve">Lien officiel de vérification de l’État :</w:t>
      </w:r>
      <w:r>
        <w:br/>
      </w:r>
      <w:r>
        <w:t xml:space="preserve">La liste exhaustive des hébergeurs certifiés HDS délivrée par les organismes accrédités (BYCYB, BSI Group, AFNOR, Bureau Veritas) est librement consultable en ligne sur le portail ministériel de l’ANS :</w:t>
      </w:r>
      <w:r>
        <w:br/>
      </w:r>
      <w:r>
        <w:t xml:space="preserve">👉</w:t>
      </w:r>
      <w:r>
        <w:t xml:space="preserve"> </w:t>
      </w:r>
      <w:hyperlink r:id="rId10">
        <w:r>
          <w:rPr>
            <w:rStyle w:val="Hyperlink"/>
          </w:rPr>
          <w:t xml:space="preserve">https://esante.gouv.fr/offres-services/hds/liste-des-hebergeurs-certifies</w:t>
        </w:r>
      </w:hyperlink>
    </w:p>
    <w:p>
      <w:r>
        <w:pict>
          <v:rect style="width:0;height:1.5pt" o:hralign="center" o:hrstd="t" o:hr="t"/>
        </w:pict>
      </w:r>
    </w:p>
    <w:bookmarkEnd w:id="11"/>
    <w:bookmarkStart w:id="12" w:name="Xf5cfb5c360914f19056a86e58b6ac2ea8c6d930"/>
    <w:p>
      <w:pPr>
        <w:pStyle w:val="Heading2"/>
      </w:pPr>
      <w:r>
        <w:t xml:space="preserve">3. Matrice des Activités du Référentiel HDS (Complémentarité Parfaite)</w:t>
      </w:r>
    </w:p>
    <w:p>
      <w:pPr>
        <w:pStyle w:val="FirstParagraph"/>
      </w:pPr>
      <w:r>
        <w:t xml:space="preserve">Le référentiel HDS de l’ANS définit 6 activités réglementaires. Le couple</w:t>
      </w:r>
      <w:r>
        <w:t xml:space="preserve"> </w:t>
      </w:r>
      <w:r>
        <w:rPr>
          <w:b/>
          <w:bCs/>
        </w:rPr>
        <w:t xml:space="preserve">Scalingo + Scaleway</w:t>
      </w:r>
      <w:r>
        <w:t xml:space="preserve"> </w:t>
      </w:r>
      <w:r>
        <w:t xml:space="preserve">assure une couverture totale et rigoureusement conforme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Activité HDS</w:t>
            </w:r>
          </w:p>
        </w:tc>
        <w:tc>
          <w:tcPr/>
          <w:p>
            <w:pPr>
              <w:pStyle w:val="Compact"/>
            </w:pPr>
            <w:r>
              <w:t xml:space="preserve">Libellé Réglementaire de l’ANS</w:t>
            </w:r>
          </w:p>
        </w:tc>
        <w:tc>
          <w:tcPr/>
          <w:p>
            <w:pPr>
              <w:pStyle w:val="Compact"/>
            </w:pPr>
            <w:r>
              <w:t xml:space="preserve">Prestataire Assurant le Périmètre</w:t>
            </w:r>
          </w:p>
        </w:tc>
        <w:tc>
          <w:tcPr/>
          <w:p>
            <w:pPr>
              <w:pStyle w:val="Compact"/>
            </w:pPr>
            <w:r>
              <w:t xml:space="preserve">Organisme Certificateur</w:t>
            </w:r>
          </w:p>
        </w:tc>
      </w:tr>
      <w:tr>
        <w:tc>
          <w:tcPr/>
          <w:p>
            <w:pPr>
              <w:pStyle w:val="Compact"/>
            </w:pPr>
            <w:r>
              <w:rPr>
                <w:b/>
                <w:bCs/>
              </w:rPr>
              <w:t xml:space="preserve">Activité 1</w:t>
            </w:r>
          </w:p>
        </w:tc>
        <w:tc>
          <w:tcPr/>
          <w:p>
            <w:pPr>
              <w:pStyle w:val="Compact"/>
            </w:pPr>
            <w:r>
              <w:t xml:space="preserve">Mise à disposition et maintien en condition opérationnelle (MCO) des sites physiques</w:t>
            </w:r>
          </w:p>
        </w:tc>
        <w:tc>
          <w:tcPr/>
          <w:p>
            <w:pPr>
              <w:pStyle w:val="Compact"/>
            </w:pPr>
            <w:r>
              <w:t xml:space="preserve">Scaleway &amp; Scalingo</w:t>
            </w:r>
          </w:p>
        </w:tc>
        <w:tc>
          <w:tcPr/>
          <w:p>
            <w:pPr>
              <w:pStyle w:val="Compact"/>
            </w:pPr>
            <w:r>
              <w:t xml:space="preserve">BSI Group / BYCYB</w:t>
            </w:r>
          </w:p>
        </w:tc>
      </w:tr>
      <w:tr>
        <w:tc>
          <w:tcPr/>
          <w:p>
            <w:pPr>
              <w:pStyle w:val="Compact"/>
            </w:pPr>
            <w:r>
              <w:rPr>
                <w:b/>
                <w:bCs/>
              </w:rPr>
              <w:t xml:space="preserve">Activité 2</w:t>
            </w:r>
          </w:p>
        </w:tc>
        <w:tc>
          <w:tcPr/>
          <w:p>
            <w:pPr>
              <w:pStyle w:val="Compact"/>
            </w:pPr>
            <w:r>
              <w:t xml:space="preserve">Mise à disposition et MCO des infrastructures matérielles</w:t>
            </w:r>
          </w:p>
        </w:tc>
        <w:tc>
          <w:tcPr/>
          <w:p>
            <w:pPr>
              <w:pStyle w:val="Compact"/>
            </w:pPr>
            <w:r>
              <w:t xml:space="preserve">Scaleway &amp; Scalingo</w:t>
            </w:r>
          </w:p>
        </w:tc>
        <w:tc>
          <w:tcPr/>
          <w:p>
            <w:pPr>
              <w:pStyle w:val="Compact"/>
            </w:pPr>
            <w:r>
              <w:t xml:space="preserve">BSI Group / BYCYB</w:t>
            </w:r>
          </w:p>
        </w:tc>
      </w:tr>
      <w:tr>
        <w:tc>
          <w:tcPr/>
          <w:p>
            <w:pPr>
              <w:pStyle w:val="Compact"/>
            </w:pPr>
            <w:r>
              <w:rPr>
                <w:b/>
                <w:bCs/>
              </w:rPr>
              <w:t xml:space="preserve">Activité 3</w:t>
            </w:r>
          </w:p>
        </w:tc>
        <w:tc>
          <w:tcPr/>
          <w:p>
            <w:pPr>
              <w:pStyle w:val="Compact"/>
            </w:pPr>
            <w:r>
              <w:t xml:space="preserve">Mise à disposition et MCO de la plateforme d’hébergement applicative</w:t>
            </w:r>
          </w:p>
        </w:tc>
        <w:tc>
          <w:tcPr/>
          <w:p>
            <w:pPr>
              <w:pStyle w:val="Compact"/>
            </w:pPr>
            <w:r>
              <w:t xml:space="preserve">Scaleway &amp; Scalingo</w:t>
            </w:r>
          </w:p>
        </w:tc>
        <w:tc>
          <w:tcPr/>
          <w:p>
            <w:pPr>
              <w:pStyle w:val="Compact"/>
            </w:pPr>
            <w:r>
              <w:t xml:space="preserve">BSI Group / BYCYB</w:t>
            </w:r>
          </w:p>
        </w:tc>
      </w:tr>
      <w:tr>
        <w:tc>
          <w:tcPr/>
          <w:p>
            <w:pPr>
              <w:pStyle w:val="Compact"/>
            </w:pPr>
            <w:r>
              <w:rPr>
                <w:b/>
                <w:bCs/>
              </w:rPr>
              <w:t xml:space="preserve">Activité 4</w:t>
            </w:r>
          </w:p>
        </w:tc>
        <w:tc>
          <w:tcPr/>
          <w:p>
            <w:pPr>
              <w:pStyle w:val="Compact"/>
            </w:pPr>
            <w:r>
              <w:t xml:space="preserve">Mise à disposition et MCO de l’infrastructure virtuelle</w:t>
            </w:r>
          </w:p>
        </w:tc>
        <w:tc>
          <w:tcPr/>
          <w:p>
            <w:pPr>
              <w:pStyle w:val="Compact"/>
            </w:pPr>
            <w:r>
              <w:t xml:space="preserve">Scaleway &amp; Scalingo</w:t>
            </w:r>
          </w:p>
        </w:tc>
        <w:tc>
          <w:tcPr/>
          <w:p>
            <w:pPr>
              <w:pStyle w:val="Compact"/>
            </w:pPr>
            <w:r>
              <w:t xml:space="preserve">BSI Group / BYCYB</w:t>
            </w:r>
          </w:p>
        </w:tc>
      </w:tr>
      <w:tr>
        <w:tc>
          <w:tcPr/>
          <w:p>
            <w:pPr>
              <w:pStyle w:val="Compact"/>
            </w:pPr>
            <w:r>
              <w:rPr>
                <w:b/>
                <w:bCs/>
              </w:rPr>
              <w:t xml:space="preserve">Activité 5</w:t>
            </w:r>
          </w:p>
        </w:tc>
        <w:tc>
          <w:tcPr/>
          <w:p>
            <w:pPr>
              <w:pStyle w:val="Compact"/>
            </w:pPr>
            <w:r>
              <w:t xml:space="preserve">Administration et exploitation du système d’information</w:t>
            </w:r>
          </w:p>
        </w:tc>
        <w:tc>
          <w:tcPr/>
          <w:p>
            <w:pPr>
              <w:pStyle w:val="Compact"/>
            </w:pPr>
            <w:r>
              <w:rPr>
                <w:b/>
                <w:bCs/>
              </w:rPr>
              <w:t xml:space="preserve">Scalingo</w:t>
            </w:r>
            <w:r>
              <w:t xml:space="preserve"> </w:t>
            </w:r>
            <w:r>
              <w:rPr>
                <w:i/>
                <w:iCs/>
              </w:rPr>
              <w:t xml:space="preserve">(Infogéreur certifié)</w:t>
            </w:r>
          </w:p>
        </w:tc>
        <w:tc>
          <w:tcPr/>
          <w:p>
            <w:pPr>
              <w:pStyle w:val="Compact"/>
            </w:pPr>
            <w:r>
              <w:t xml:space="preserve">BYCYB</w:t>
            </w:r>
          </w:p>
        </w:tc>
      </w:tr>
      <w:tr>
        <w:tc>
          <w:tcPr/>
          <w:p>
            <w:pPr>
              <w:pStyle w:val="Compact"/>
            </w:pPr>
            <w:r>
              <w:rPr>
                <w:b/>
                <w:bCs/>
              </w:rPr>
              <w:t xml:space="preserve">Activité 6</w:t>
            </w:r>
          </w:p>
        </w:tc>
        <w:tc>
          <w:tcPr/>
          <w:p>
            <w:pPr>
              <w:pStyle w:val="Compact"/>
            </w:pPr>
            <w:r>
              <w:t xml:space="preserve">Sauvegarde et réplication externalisée</w:t>
            </w:r>
          </w:p>
        </w:tc>
        <w:tc>
          <w:tcPr/>
          <w:p>
            <w:pPr>
              <w:pStyle w:val="Compact"/>
            </w:pPr>
            <w:r>
              <w:rPr>
                <w:b/>
                <w:bCs/>
              </w:rPr>
              <w:t xml:space="preserve">Scalingo</w:t>
            </w:r>
            <w:r>
              <w:t xml:space="preserve"> </w:t>
            </w:r>
            <w:r>
              <w:rPr>
                <w:i/>
                <w:iCs/>
              </w:rPr>
              <w:t xml:space="preserve">(Couverture globale du flux)</w:t>
            </w:r>
          </w:p>
        </w:tc>
        <w:tc>
          <w:tcPr/>
          <w:p>
            <w:pPr>
              <w:pStyle w:val="Compact"/>
            </w:pPr>
            <w:r>
              <w:t xml:space="preserve">BYCYB</w:t>
            </w:r>
          </w:p>
        </w:tc>
      </w:tr>
    </w:tbl>
    <w:p>
      <w:r>
        <w:pict>
          <v:rect style="width:0;height:1.5pt" o:hralign="center" o:hrstd="t" o:hr="t"/>
        </w:pict>
      </w:r>
    </w:p>
    <w:bookmarkEnd w:id="12"/>
    <w:bookmarkStart w:id="13" w:name="X32224de2f1d80d4bf377b429548f16207423881"/>
    <w:p>
      <w:pPr>
        <w:pStyle w:val="Heading2"/>
      </w:pPr>
      <w:r>
        <w:t xml:space="preserve">4. Garanties de Sécurité &amp; Non-Persistance HDS</w:t>
      </w:r>
    </w:p>
    <w:p>
      <w:pPr>
        <w:pStyle w:val="Compact"/>
        <w:numPr>
          <w:ilvl w:val="0"/>
          <w:numId w:val="1001"/>
        </w:numPr>
      </w:pPr>
      <w:r>
        <w:rPr>
          <w:b/>
          <w:bCs/>
        </w:rPr>
        <w:t xml:space="preserve">Architecture Éphémère (Sas de Transit Stateless) :</w:t>
      </w:r>
      <w:r>
        <w:br/>
      </w:r>
      <w:r>
        <w:t xml:space="preserve">L’infrastructure cloud MacroscopiX n’est en aucun cas un lieu d’archivage pérenne des dossiers patients. Elle agit comme une passerelle sécurisée de relais. Les données sont purgées dès téléchargement validé par l’établissement local.</w:t>
      </w:r>
    </w:p>
    <w:p>
      <w:pPr>
        <w:pStyle w:val="Compact"/>
        <w:numPr>
          <w:ilvl w:val="0"/>
          <w:numId w:val="1001"/>
        </w:numPr>
      </w:pPr>
      <w:r>
        <w:rPr>
          <w:b/>
          <w:bCs/>
        </w:rPr>
        <w:t xml:space="preserve">Double Filet de Sécurité de Purge :</w:t>
      </w:r>
    </w:p>
    <w:p>
      <w:pPr>
        <w:pStyle w:val="Compact"/>
        <w:numPr>
          <w:ilvl w:val="1"/>
          <w:numId w:val="1002"/>
        </w:numPr>
      </w:pPr>
      <w:r>
        <w:t xml:space="preserve">Commande</w:t>
      </w:r>
      <w:r>
        <w:t xml:space="preserve"> </w:t>
      </w:r>
      <w:r>
        <w:rPr>
          <w:rStyle w:val="VerbatimChar"/>
        </w:rPr>
        <w:t xml:space="preserve">DELETE</w:t>
      </w:r>
      <w:r>
        <w:t xml:space="preserve"> </w:t>
      </w:r>
      <w:r>
        <w:t xml:space="preserve">émise par l’agent local dès vérification d’intégrité de transfert (</w:t>
      </w:r>
      <w:r>
        <w:rPr>
          <w:rStyle w:val="VerbatimChar"/>
        </w:rPr>
        <w:t xml:space="preserve">Content-Length</w:t>
      </w:r>
      <w:r>
        <w:t xml:space="preserve">).</w:t>
      </w:r>
    </w:p>
    <w:p>
      <w:pPr>
        <w:pStyle w:val="Compact"/>
        <w:numPr>
          <w:ilvl w:val="1"/>
          <w:numId w:val="1002"/>
        </w:numPr>
      </w:pPr>
      <w:r>
        <w:t xml:space="preserve">Règle matérielle S3</w:t>
      </w:r>
      <w:r>
        <w:t xml:space="preserve"> </w:t>
      </w:r>
      <w:r>
        <w:rPr>
          <w:b/>
          <w:bCs/>
        </w:rPr>
        <w:t xml:space="preserve">Lifecycle Policy de 24 heures</w:t>
      </w:r>
      <w:r>
        <w:t xml:space="preserve"> </w:t>
      </w:r>
      <w:r>
        <w:t xml:space="preserve">détruisant tout fichier n’ayant pas été purgé (ex. coupure d’infrastructure du CHU).</w:t>
      </w:r>
    </w:p>
    <w:p>
      <w:pPr>
        <w:pStyle w:val="Compact"/>
        <w:numPr>
          <w:ilvl w:val="0"/>
          <w:numId w:val="1001"/>
        </w:numPr>
      </w:pPr>
      <w:r>
        <w:rPr>
          <w:b/>
          <w:bCs/>
        </w:rPr>
        <w:t xml:space="preserve">Chiffrement de Bout en Bout :</w:t>
      </w:r>
    </w:p>
    <w:p>
      <w:pPr>
        <w:pStyle w:val="Compact"/>
        <w:numPr>
          <w:ilvl w:val="1"/>
          <w:numId w:val="1003"/>
        </w:numPr>
      </w:pPr>
      <w:r>
        <w:t xml:space="preserve">En transit : TLS 1.2 / TLS 1.3 avec suites cryptographiques fortes (PFS).</w:t>
      </w:r>
    </w:p>
    <w:p>
      <w:pPr>
        <w:pStyle w:val="Compact"/>
        <w:numPr>
          <w:ilvl w:val="1"/>
          <w:numId w:val="1003"/>
        </w:numPr>
      </w:pPr>
      <w:r>
        <w:t xml:space="preserve">Au repos : Chiffrement natif AES-256 (SSE-S3) sur les disques physiques des datacenters.</w:t>
      </w:r>
    </w:p>
    <w:p>
      <w:pPr>
        <w:pStyle w:val="Compact"/>
        <w:numPr>
          <w:ilvl w:val="0"/>
          <w:numId w:val="1001"/>
        </w:numPr>
      </w:pPr>
      <w:r>
        <w:rPr>
          <w:b/>
          <w:bCs/>
        </w:rPr>
        <w:t xml:space="preserve">Cloisonnement Hermétique Multi-Établissements :</w:t>
      </w:r>
      <w:r>
        <w:br/>
      </w:r>
      <w:r>
        <w:t xml:space="preserve">Chaque CHU possède son jeton technique dédié et une racine de stockage verrouillée (</w:t>
      </w:r>
      <w:r>
        <w:rPr>
          <w:rStyle w:val="VerbatimChar"/>
        </w:rPr>
        <w:t xml:space="preserve">chroot</w:t>
      </w:r>
      <w:r>
        <w:t xml:space="preserve">). Aucune visibilité transversale n’est possible entre les données de différents hôpitaux.</w:t>
      </w:r>
    </w:p>
    <w:p>
      <w:r>
        <w:pict>
          <v:rect style="width:0;height:1.5pt" o:hralign="center" o:hrstd="t" o:hr="t"/>
        </w:pict>
      </w:r>
    </w:p>
    <w:bookmarkEnd w:id="13"/>
    <w:bookmarkStart w:id="14" w:name="synthèse-pour-le-dpo-et-le-rssi"/>
    <w:p>
      <w:pPr>
        <w:pStyle w:val="Heading2"/>
      </w:pPr>
      <w:r>
        <w:t xml:space="preserve">5. Synthèse pour le DPO et le RSSI</w:t>
      </w:r>
    </w:p>
    <w:p>
      <w:pPr>
        <w:pStyle w:val="Compact"/>
        <w:numPr>
          <w:ilvl w:val="0"/>
          <w:numId w:val="1004"/>
        </w:numPr>
      </w:pPr>
      <w:r>
        <w:rPr>
          <w:b/>
          <w:bCs/>
        </w:rPr>
        <w:t xml:space="preserve">Localisation des Données Médicales :</w:t>
      </w:r>
      <w:r>
        <w:t xml:space="preserve"> </w:t>
      </w:r>
      <w:r>
        <w:t xml:space="preserve">100 % France (Datacenters certifiés).</w:t>
      </w:r>
    </w:p>
    <w:p>
      <w:pPr>
        <w:pStyle w:val="Compact"/>
        <w:numPr>
          <w:ilvl w:val="0"/>
          <w:numId w:val="1004"/>
        </w:numPr>
      </w:pPr>
      <w:r>
        <w:rPr>
          <w:b/>
          <w:bCs/>
        </w:rPr>
        <w:t xml:space="preserve">Conformité Réglementaire :</w:t>
      </w:r>
      <w:r>
        <w:t xml:space="preserve"> </w:t>
      </w:r>
      <w:r>
        <w:t xml:space="preserve">Conforme Art. L. 1111-8 CSP et RGPD (Art. 28, 32).</w:t>
      </w:r>
    </w:p>
    <w:p>
      <w:pPr>
        <w:pStyle w:val="Compact"/>
        <w:numPr>
          <w:ilvl w:val="0"/>
          <w:numId w:val="1004"/>
        </w:numPr>
      </w:pPr>
      <w:r>
        <w:rPr>
          <w:b/>
          <w:bCs/>
        </w:rPr>
        <w:t xml:space="preserve">Statut HDS :</w:t>
      </w:r>
      <w:r>
        <w:t xml:space="preserve"> </w:t>
      </w:r>
      <w:r>
        <w:t xml:space="preserve">Porté par des acteurs certifiés HDS de plein droit inscrits sur la liste ANS.</w:t>
      </w:r>
    </w:p>
    <w:p>
      <w:pPr>
        <w:pStyle w:val="Compact"/>
        <w:numPr>
          <w:ilvl w:val="0"/>
          <w:numId w:val="1004"/>
        </w:numPr>
      </w:pPr>
      <w:r>
        <w:rPr>
          <w:b/>
          <w:bCs/>
        </w:rPr>
        <w:t xml:space="preserve">Réversibilité / Restitution :</w:t>
      </w:r>
      <w:r>
        <w:t xml:space="preserve"> </w:t>
      </w:r>
      <w:r>
        <w:t xml:space="preserve">Les données étant immédiatement rapatriées dans le SIH de l’établissement, le CHU conserve 100 % de la propriété et de la maîtrise souveraine de ses clichés et enregistrements.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sante.gouv.fr/offres-services/hds/liste-des-hebergeurs-certifies" TargetMode="External" /></Relationships>
</file>

<file path=word/_rels/footnotes.xml.rels><?xml version="1.0" encoding="UTF-8"?><Relationships xmlns="http://schemas.openxmlformats.org/package/2006/relationships"><Relationship Type="http://schemas.openxmlformats.org/officeDocument/2006/relationships/hyperlink" Id="rId10" Target="https://esante.gouv.fr/offres-services/hds/liste-des-hebergeurs-certif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2026-10-11T21:28:55Z</dcterms:created>
  <dcterms:modified xsi:type="dcterms:W3CDTF">2026-10-11T21:28:55Z</dcterms:modified>
</cp:coreProperties>
</file>

<file path=docProps/custom.xml><?xml version="1.0" encoding="utf-8"?>
<Properties xmlns="http://schemas.openxmlformats.org/officeDocument/2006/custom-properties" xmlns:vt="http://schemas.openxmlformats.org/officeDocument/2006/docPropsVTypes"/>
</file>