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5461d052c78d0eac95cef5a696238ab835d2702"/>
    <w:p>
      <w:pPr>
        <w:pStyle w:val="Heading1"/>
      </w:pPr>
      <w:r>
        <w:t xml:space="preserve">Audit Technique : Backend d’Administration Macroscopix</w:t>
      </w:r>
    </w:p>
    <w:p>
      <w:pPr>
        <w:pStyle w:val="FirstParagraph"/>
      </w:pPr>
      <w:r>
        <w:rPr>
          <w:b/>
          <w:bCs/>
        </w:rPr>
        <w:t xml:space="preserve">Composant :</w:t>
      </w:r>
      <w:r>
        <w:t xml:space="preserve"> </w:t>
      </w:r>
      <w:r>
        <w:t xml:space="preserve">Backend d’administration (Console Web)</w:t>
      </w:r>
      <w:r>
        <w:br/>
      </w:r>
      <w:r>
        <w:rPr>
          <w:b/>
          <w:bCs/>
        </w:rPr>
        <w:t xml:space="preserve">Technologie :</w:t>
      </w:r>
      <w:r>
        <w:t xml:space="preserve"> </w:t>
      </w:r>
      <w:r>
        <w:t xml:space="preserve">PHP 8.x, PostgreSQL</w:t>
      </w:r>
      <w:r>
        <w:br/>
      </w:r>
      <w:r>
        <w:rPr>
          <w:b/>
          <w:bCs/>
        </w:rPr>
        <w:t xml:space="preserve">Rôle :</w:t>
      </w:r>
      <w:r>
        <w:t xml:space="preserve"> </w:t>
      </w:r>
      <w:r>
        <w:t xml:space="preserve">Gestion administrative, enrôlement des terminaux, supervision</w:t>
      </w:r>
      <w:r>
        <w:t xml:space="preserve"> </w:t>
      </w:r>
      <w:r>
        <w:t xml:space="preserve">et journalisation technique</w:t>
      </w:r>
    </w:p>
    <w:p>
      <w:r>
        <w:pict>
          <v:rect style="width:0;height:1.5pt" o:hralign="center" o:hrstd="t" o:hr="t"/>
        </w:pict>
      </w:r>
    </w:p>
    <w:bookmarkStart w:id="9" w:name="objectif-et-périmètre"/>
    <w:p>
      <w:pPr>
        <w:pStyle w:val="Heading2"/>
      </w:pPr>
      <w:r>
        <w:t xml:space="preserve">1. Objectif et périmètre</w:t>
      </w:r>
    </w:p>
    <w:p>
      <w:pPr>
        <w:pStyle w:val="FirstParagraph"/>
      </w:pPr>
      <w:r>
        <w:t xml:space="preserve">Le backend d’administration Macroscopix assure exclusivement des</w:t>
      </w:r>
      <w:r>
        <w:t xml:space="preserve"> </w:t>
      </w:r>
      <w:r>
        <w:t xml:space="preserve">fonctions de gestion technique :</w:t>
      </w:r>
    </w:p>
    <w:p>
      <w:pPr>
        <w:pStyle w:val="BodyText"/>
      </w:pPr>
      <w:r>
        <w:t xml:space="preserve">- administration des terminaux enrôlés,</w:t>
      </w:r>
    </w:p>
    <w:p>
      <w:pPr>
        <w:pStyle w:val="BodyText"/>
      </w:pPr>
      <w:r>
        <w:t xml:space="preserve">- supervision des accès et des configurations,</w:t>
      </w:r>
    </w:p>
    <w:p>
      <w:pPr>
        <w:pStyle w:val="BodyText"/>
      </w:pPr>
      <w:r>
        <w:t xml:space="preserve">- consultation des journaux techniques,</w:t>
      </w:r>
    </w:p>
    <w:p>
      <w:pPr>
        <w:pStyle w:val="BodyText"/>
      </w:pPr>
      <w:r>
        <w:t xml:space="preserve">- paramétrage des accès WebDAV.</w:t>
      </w:r>
    </w:p>
    <w:p>
      <w:pPr>
        <w:pStyle w:val="BodyText"/>
      </w:pPr>
      <w:r>
        <w:t xml:space="preserve">Ce backend : ne stocke aucune image, ne traite aucune donnée de santé,</w:t>
      </w:r>
      <w:r>
        <w:t xml:space="preserve"> </w:t>
      </w:r>
      <w:r>
        <w:t xml:space="preserve">ne contient aucun identifiant patient ou lien patient–fichier.</w:t>
      </w:r>
    </w:p>
    <w:p>
      <w:pPr>
        <w:pStyle w:val="BodyText"/>
      </w:pPr>
      <w:r>
        <w:t xml:space="preserve">Il est strictement séparé du serveur WebDAV certifié HDS, qui est le</w:t>
      </w:r>
      <w:r>
        <w:t xml:space="preserve"> </w:t>
      </w:r>
      <w:r>
        <w:t xml:space="preserve">seul composant manipulant des données de santé.</w:t>
      </w:r>
    </w:p>
    <w:p>
      <w:r>
        <w:pict>
          <v:rect style="width:0;height:1.5pt" o:hralign="center" o:hrstd="t" o:hr="t"/>
        </w:pict>
      </w:r>
    </w:p>
    <w:bookmarkEnd w:id="9"/>
    <w:bookmarkStart w:id="10" w:name="architecture-et-positionnement"/>
    <w:p>
      <w:pPr>
        <w:pStyle w:val="Heading2"/>
      </w:pPr>
      <w:r>
        <w:t xml:space="preserve">2. Architecture et positionnement</w:t>
      </w:r>
    </w:p>
    <w:p>
      <w:pPr>
        <w:numPr>
          <w:ilvl w:val="0"/>
          <w:numId w:val="1001"/>
        </w:numPr>
      </w:pPr>
      <w:r>
        <w:t xml:space="preserve">Application PHP stateless, accessible uniquement en HTTPS.</w:t>
      </w:r>
    </w:p>
    <w:p>
      <w:pPr>
        <w:numPr>
          <w:ilvl w:val="0"/>
          <w:numId w:val="1001"/>
        </w:numPr>
      </w:pPr>
      <w:r>
        <w:t xml:space="preserve">Hébergement hors périmètre HDS (absence de données de santé).</w:t>
      </w:r>
    </w:p>
    <w:p>
      <w:pPr>
        <w:numPr>
          <w:ilvl w:val="0"/>
          <w:numId w:val="1001"/>
        </w:numPr>
      </w:pPr>
      <w:r>
        <w:t xml:space="preserve">Accès restreint aux personnels autorisés (administrateurs techniques).</w:t>
      </w:r>
    </w:p>
    <w:p>
      <w:r>
        <w:pict>
          <v:rect style="width:0;height:1.5pt" o:hralign="center" o:hrstd="t" o:hr="t"/>
        </w:pict>
      </w:r>
    </w:p>
    <w:bookmarkEnd w:id="10"/>
    <w:bookmarkStart w:id="13" w:name="authentification-et-contrôle-daccès"/>
    <w:p>
      <w:pPr>
        <w:pStyle w:val="Heading2"/>
      </w:pPr>
      <w:r>
        <w:t xml:space="preserve">3. Authentification et contrôle d’accès</w:t>
      </w:r>
    </w:p>
    <w:bookmarkStart w:id="11" w:name="authentification-forte-2fa"/>
    <w:p>
      <w:pPr>
        <w:pStyle w:val="Heading3"/>
      </w:pPr>
      <w:r>
        <w:t xml:space="preserve">3.1 Authentification forte (2FA)</w:t>
      </w:r>
    </w:p>
    <w:p>
      <w:pPr>
        <w:numPr>
          <w:ilvl w:val="0"/>
          <w:numId w:val="1002"/>
        </w:numPr>
      </w:pPr>
      <w:r>
        <w:t xml:space="preserve">Authentification par mot de passe + OTP.</w:t>
      </w:r>
    </w:p>
    <w:p>
      <w:pPr>
        <w:numPr>
          <w:ilvl w:val="0"/>
          <w:numId w:val="1002"/>
        </w:numPr>
      </w:pPr>
      <w:r>
        <w:t xml:space="preserve">Mise en œuvre via une librairie compatible Google Authenticator.</w:t>
      </w:r>
    </w:p>
    <w:p>
      <w:pPr>
        <w:numPr>
          <w:ilvl w:val="0"/>
          <w:numId w:val="1002"/>
        </w:numPr>
      </w:pPr>
      <w:r>
        <w:t xml:space="preserve">Validation OTP avec fenêtre temporelle restreinte.</w:t>
      </w:r>
    </w:p>
    <w:bookmarkEnd w:id="11"/>
    <w:bookmarkStart w:id="12" w:name="protection-contre-les-abus"/>
    <w:p>
      <w:pPr>
        <w:pStyle w:val="Heading3"/>
      </w:pPr>
      <w:r>
        <w:t xml:space="preserve">3.2 Protection contre les abus</w:t>
      </w:r>
    </w:p>
    <w:p>
      <w:pPr>
        <w:numPr>
          <w:ilvl w:val="0"/>
          <w:numId w:val="1003"/>
        </w:numPr>
      </w:pPr>
      <w:r>
        <w:t xml:space="preserve">Limitation du nombre de tentatives d’authentification.</w:t>
      </w:r>
    </w:p>
    <w:p>
      <w:pPr>
        <w:numPr>
          <w:ilvl w:val="0"/>
          <w:numId w:val="1003"/>
        </w:numPr>
      </w:pPr>
      <w:r>
        <w:t xml:space="preserve">Blocage temporaire après échecs répétés.</w:t>
      </w:r>
    </w:p>
    <w:p>
      <w:pPr>
        <w:numPr>
          <w:ilvl w:val="0"/>
          <w:numId w:val="1003"/>
        </w:numPr>
      </w:pPr>
      <w:r>
        <w:t xml:space="preserve">Messages d’erreur non différenciants pour éviter toute fuite</w:t>
      </w:r>
      <w:r>
        <w:t xml:space="preserve"> </w:t>
      </w:r>
      <w:r>
        <w:t xml:space="preserve">d’information.</w:t>
      </w:r>
    </w:p>
    <w:p>
      <w:pPr>
        <w:numPr>
          <w:ilvl w:val="0"/>
          <w:numId w:val="1003"/>
        </w:numPr>
      </w:pPr>
      <w:r>
        <w:t xml:space="preserve">Journalisation systématique des tentatives échouées.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gestion-des-sessions"/>
    <w:p>
      <w:pPr>
        <w:pStyle w:val="Heading2"/>
      </w:pPr>
      <w:r>
        <w:t xml:space="preserve">4. Gestion des sessions</w:t>
      </w:r>
    </w:p>
    <w:p>
      <w:pPr>
        <w:numPr>
          <w:ilvl w:val="0"/>
          <w:numId w:val="1004"/>
        </w:numPr>
      </w:pPr>
      <w:r>
        <w:t xml:space="preserve">Sessions PHP stockées côté serveur.</w:t>
      </w:r>
    </w:p>
    <w:p>
      <w:pPr>
        <w:numPr>
          <w:ilvl w:val="0"/>
          <w:numId w:val="1004"/>
        </w:numPr>
      </w:pPr>
      <w:r>
        <w:t xml:space="preserve">Cookies de session sécurisés :</w:t>
      </w:r>
    </w:p>
    <w:p>
      <w:pPr>
        <w:numPr>
          <w:ilvl w:val="1"/>
          <w:numId w:val="1005"/>
        </w:numPr>
      </w:pPr>
      <w:r>
        <w:t xml:space="preserve">HttpOnly,</w:t>
      </w:r>
    </w:p>
    <w:p>
      <w:pPr>
        <w:numPr>
          <w:ilvl w:val="1"/>
          <w:numId w:val="1005"/>
        </w:numPr>
      </w:pPr>
      <w:r>
        <w:t xml:space="preserve">Secure,</w:t>
      </w:r>
    </w:p>
    <w:p>
      <w:pPr>
        <w:numPr>
          <w:ilvl w:val="1"/>
          <w:numId w:val="1005"/>
        </w:numPr>
      </w:pPr>
      <w:r>
        <w:t xml:space="preserve">SameSite=Strict.</w:t>
      </w:r>
    </w:p>
    <w:p>
      <w:pPr>
        <w:numPr>
          <w:ilvl w:val="0"/>
          <w:numId w:val="1004"/>
        </w:numPr>
      </w:pPr>
      <w:r>
        <w:t xml:space="preserve">Expiration automatique des sessions inactives.</w:t>
      </w:r>
    </w:p>
    <w:p>
      <w:pPr>
        <w:numPr>
          <w:ilvl w:val="0"/>
          <w:numId w:val="1004"/>
        </w:numPr>
      </w:pPr>
      <w:r>
        <w:t xml:space="preserve">Destruction explicite de la session lors de la déconnexion.</w:t>
      </w:r>
    </w:p>
    <w:p>
      <w:r>
        <w:pict>
          <v:rect style="width:0;height:1.5pt" o:hralign="center" o:hrstd="t" o:hr="t"/>
        </w:pict>
      </w:r>
    </w:p>
    <w:bookmarkEnd w:id="14"/>
    <w:bookmarkStart w:id="15" w:name="X1e7c0f8148fad53a5c2a416c0c536dd2ac9d709"/>
    <w:p>
      <w:pPr>
        <w:pStyle w:val="Heading2"/>
      </w:pPr>
      <w:r>
        <w:t xml:space="preserve">5. Gestion des secrets et des configurations</w:t>
      </w:r>
    </w:p>
    <w:p>
      <w:pPr>
        <w:numPr>
          <w:ilvl w:val="0"/>
          <w:numId w:val="1006"/>
        </w:numPr>
      </w:pPr>
      <w:r>
        <w:t xml:space="preserve">Aucun secret stocké en clair dans le code source.</w:t>
      </w:r>
    </w:p>
    <w:p>
      <w:pPr>
        <w:numPr>
          <w:ilvl w:val="0"/>
          <w:numId w:val="1006"/>
        </w:numPr>
      </w:pPr>
      <w:r>
        <w:t xml:space="preserve">Utilisation exclusive de variables d’environnement pour :</w:t>
      </w:r>
    </w:p>
    <w:p>
      <w:pPr>
        <w:numPr>
          <w:ilvl w:val="1"/>
          <w:numId w:val="1007"/>
        </w:numPr>
      </w:pPr>
      <w:r>
        <w:t xml:space="preserve">clés TOTP,</w:t>
      </w:r>
    </w:p>
    <w:p>
      <w:pPr>
        <w:numPr>
          <w:ilvl w:val="1"/>
          <w:numId w:val="1007"/>
        </w:numPr>
      </w:pPr>
      <w:r>
        <w:t xml:space="preserve">clés API internes,</w:t>
      </w:r>
    </w:p>
    <w:p>
      <w:pPr>
        <w:numPr>
          <w:ilvl w:val="1"/>
          <w:numId w:val="1007"/>
        </w:numPr>
      </w:pPr>
      <w:r>
        <w:t xml:space="preserve">paramètres sensibles.</w:t>
      </w:r>
    </w:p>
    <w:p>
      <w:pPr>
        <w:numPr>
          <w:ilvl w:val="0"/>
          <w:numId w:val="1006"/>
        </w:numPr>
      </w:pPr>
      <w:r>
        <w:t xml:space="preserve">Séparation des secrets par environnement (développement / production).</w:t>
      </w:r>
    </w:p>
    <w:p>
      <w:pPr>
        <w:numPr>
          <w:ilvl w:val="0"/>
          <w:numId w:val="1006"/>
        </w:numPr>
      </w:pPr>
      <w:r>
        <w:t xml:space="preserve">Rotation des secrets possible sans modification du code.</w:t>
      </w:r>
    </w:p>
    <w:p>
      <w:r>
        <w:pict>
          <v:rect style="width:0;height:1.5pt" o:hralign="center" o:hrstd="t" o:hr="t"/>
        </w:pict>
      </w:r>
    </w:p>
    <w:bookmarkEnd w:id="15"/>
    <w:bookmarkStart w:id="18" w:name="journalisation-et-traçabilité"/>
    <w:p>
      <w:pPr>
        <w:pStyle w:val="Heading2"/>
      </w:pPr>
      <w:r>
        <w:t xml:space="preserve">6. Journalisation et traçabilité</w:t>
      </w:r>
    </w:p>
    <w:bookmarkStart w:id="16" w:name="contenu-des-logs"/>
    <w:p>
      <w:pPr>
        <w:pStyle w:val="Heading3"/>
      </w:pPr>
      <w:r>
        <w:t xml:space="preserve">6.1 Contenu des logs</w:t>
      </w:r>
    </w:p>
    <w:p>
      <w:pPr>
        <w:pStyle w:val="FirstParagraph"/>
      </w:pPr>
      <w:r>
        <w:t xml:space="preserve">Les journaux contiennent uniquement des informations techniques : -</w:t>
      </w:r>
      <w:r>
        <w:t xml:space="preserve"> </w:t>
      </w:r>
      <w:r>
        <w:t xml:space="preserve">horodatage, - type d’événement (connexion, action admin, erreur), -</w:t>
      </w:r>
      <w:r>
        <w:t xml:space="preserve"> </w:t>
      </w:r>
      <w:r>
        <w:t xml:space="preserve">identifiant technique de l’administrateur ou du terminal, - adresse IP</w:t>
      </w:r>
      <w:r>
        <w:t xml:space="preserve"> </w:t>
      </w:r>
      <w:r>
        <w:t xml:space="preserve">source.</w:t>
      </w:r>
    </w:p>
    <w:bookmarkEnd w:id="16"/>
    <w:bookmarkStart w:id="17" w:name="données-explicitement-exclues"/>
    <w:p>
      <w:pPr>
        <w:pStyle w:val="Heading3"/>
      </w:pPr>
      <w:r>
        <w:t xml:space="preserve">6.2 Données explicitement exclues</w:t>
      </w:r>
    </w:p>
    <w:p>
      <w:pPr>
        <w:numPr>
          <w:ilvl w:val="0"/>
          <w:numId w:val="1008"/>
        </w:numPr>
      </w:pPr>
      <w:r>
        <w:t xml:space="preserve">aucune donnée patient,</w:t>
      </w:r>
    </w:p>
    <w:p>
      <w:pPr>
        <w:numPr>
          <w:ilvl w:val="0"/>
          <w:numId w:val="1008"/>
        </w:numPr>
      </w:pPr>
      <w:r>
        <w:t xml:space="preserve">aucun identifiant médical,</w:t>
      </w:r>
    </w:p>
    <w:p>
      <w:pPr>
        <w:numPr>
          <w:ilvl w:val="0"/>
          <w:numId w:val="1008"/>
        </w:numPr>
      </w:pPr>
      <w:r>
        <w:t xml:space="preserve">aucun contenu image,</w:t>
      </w:r>
    </w:p>
    <w:p>
      <w:pPr>
        <w:numPr>
          <w:ilvl w:val="0"/>
          <w:numId w:val="1008"/>
        </w:numPr>
      </w:pPr>
      <w:r>
        <w:t xml:space="preserve">aucun hash de fichier image.</w:t>
      </w:r>
    </w:p>
    <w:p>
      <w:pPr>
        <w:pStyle w:val="FirstParagraph"/>
      </w:pPr>
      <w:r>
        <w:t xml:space="preserve">Les logs sont</w:t>
      </w:r>
      <w:r>
        <w:t xml:space="preserve"> </w:t>
      </w:r>
      <w:r>
        <w:rPr>
          <w:b/>
          <w:bCs/>
        </w:rPr>
        <w:t xml:space="preserve">non ré-identifiants</w:t>
      </w:r>
      <w:r>
        <w:t xml:space="preserve"> </w:t>
      </w:r>
      <w:r>
        <w:t xml:space="preserve">et conformes aux principes de</w:t>
      </w:r>
      <w:r>
        <w:t xml:space="preserve"> </w:t>
      </w:r>
      <w:r>
        <w:t xml:space="preserve">minimisation des données (RGPD).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sécurité-applicative"/>
    <w:p>
      <w:pPr>
        <w:pStyle w:val="Heading2"/>
      </w:pPr>
      <w:r>
        <w:t xml:space="preserve">7. Sécurité applicative</w:t>
      </w:r>
    </w:p>
    <w:bookmarkStart w:id="19" w:name="en-têtes-http-de-sécurité"/>
    <w:p>
      <w:pPr>
        <w:pStyle w:val="Heading3"/>
      </w:pPr>
      <w:r>
        <w:t xml:space="preserve">7.1 En-têtes HTTP de sécurité</w:t>
      </w:r>
    </w:p>
    <w:p>
      <w:pPr>
        <w:pStyle w:val="FirstParagraph"/>
      </w:pPr>
      <w:r>
        <w:t xml:space="preserve">Les en-têtes suivants sont activés : - Strict-Transport-Security</w:t>
      </w:r>
      <w:r>
        <w:t xml:space="preserve"> </w:t>
      </w:r>
      <w:r>
        <w:t xml:space="preserve">(HSTS), - Content-Security-Policy (CSP), - X-Frame-Options: DENY, -</w:t>
      </w:r>
      <w:r>
        <w:t xml:space="preserve"> </w:t>
      </w:r>
      <w:r>
        <w:t xml:space="preserve">X-Content-Type-Options: nosniff, - Referrer-Policy: no-referrer.</w:t>
      </w:r>
    </w:p>
    <w:bookmarkEnd w:id="19"/>
    <w:bookmarkStart w:id="20" w:name="réduction-de-la-surface-dattaque"/>
    <w:p>
      <w:pPr>
        <w:pStyle w:val="Heading3"/>
      </w:pPr>
      <w:r>
        <w:t xml:space="preserve">7.2 Réduction de la surface d’attaque</w:t>
      </w:r>
    </w:p>
    <w:p>
      <w:pPr>
        <w:numPr>
          <w:ilvl w:val="0"/>
          <w:numId w:val="1009"/>
        </w:numPr>
      </w:pPr>
      <w:r>
        <w:t xml:space="preserve">Aucun upload de fichier.</w:t>
      </w:r>
    </w:p>
    <w:p>
      <w:pPr>
        <w:numPr>
          <w:ilvl w:val="0"/>
          <w:numId w:val="1009"/>
        </w:numPr>
      </w:pPr>
      <w:r>
        <w:t xml:space="preserve">Aucun endpoint public non authentifié.</w:t>
      </w:r>
    </w:p>
    <w:p>
      <w:pPr>
        <w:numPr>
          <w:ilvl w:val="0"/>
          <w:numId w:val="1009"/>
        </w:numPr>
      </w:pPr>
      <w:r>
        <w:t xml:space="preserve">Aucune exécution de code fournie par l’utilisateur.</w:t>
      </w:r>
    </w:p>
    <w:p>
      <w:pPr>
        <w:numPr>
          <w:ilvl w:val="0"/>
          <w:numId w:val="1009"/>
        </w:numPr>
      </w:pPr>
      <w:r>
        <w:t xml:space="preserve">Pas de base de données contenant des données sensibles.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555812dcb2df6c17cda994a1794a10e4400b5a4"/>
    <w:p>
      <w:pPr>
        <w:pStyle w:val="Heading2"/>
      </w:pPr>
      <w:r>
        <w:t xml:space="preserve">8. Séparation des responsabilités (Security by Design)</w:t>
      </w:r>
    </w:p>
    <w:tbl>
      <w:tblPr>
        <w:tblStyle w:val="Table"/>
        <w:tblW w:type="pct" w:w="4375"/>
        <w:tblLayout w:type="fixed"/>
        <w:tblLook w:firstRow="1" w:lastRow="0" w:firstColumn="0" w:lastColumn="0" w:noHBand="0" w:noVBand="0" w:val="0020"/>
      </w:tblPr>
      <w:tblGrid>
        <w:gridCol w:w="2310"/>
        <w:gridCol w:w="2310"/>
        <w:gridCol w:w="23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Composant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Données traitées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</w:t>
            </w:r>
            <w:r>
              <w:t xml:space="preserve"> </w:t>
            </w:r>
            <w: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Métadonnées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Serveur WebDAV HDS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 fichiers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hospitalier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 patient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Données médicales</w:t>
            </w:r>
          </w:p>
        </w:tc>
      </w:tr>
    </w:tbl>
    <w:p>
      <w:pPr>
        <w:pStyle w:val="BodyText"/>
      </w:pPr>
      <w:r>
        <w:t xml:space="preserve">Cette séparation empêche toute reconstitution de données de santé depuis</w:t>
      </w:r>
      <w:r>
        <w:t xml:space="preserve"> </w:t>
      </w:r>
      <w:r>
        <w:t xml:space="preserve">le backend d’administration.</w:t>
      </w:r>
    </w:p>
    <w:p>
      <w:r>
        <w:pict>
          <v:rect style="width:0;height:1.5pt" o:hralign="center" o:hrstd="t" o:hr="t"/>
        </w:pict>
      </w:r>
    </w:p>
    <w:bookmarkEnd w:id="22"/>
    <w:bookmarkStart w:id="23" w:name="conformité-réglementaire-et-statut-hds"/>
    <w:p>
      <w:pPr>
        <w:pStyle w:val="Heading2"/>
      </w:pPr>
      <w:r>
        <w:t xml:space="preserve">9. Conformité réglementaire et statut HDS</w:t>
      </w:r>
    </w:p>
    <w:p>
      <w:pPr>
        <w:pStyle w:val="FirstParagraph"/>
      </w:pPr>
      <w:r>
        <w:t xml:space="preserve">Le backend d’administration est</w:t>
      </w:r>
      <w:r>
        <w:t xml:space="preserve"> </w:t>
      </w:r>
      <w:r>
        <w:rPr>
          <w:b/>
          <w:bCs/>
        </w:rPr>
        <w:t xml:space="preserve">hors périmètre HDS</w:t>
      </w:r>
      <w:r>
        <w:t xml:space="preserve">, car : - il ne</w:t>
      </w:r>
      <w:r>
        <w:t xml:space="preserve"> </w:t>
      </w:r>
      <w:r>
        <w:t xml:space="preserve">stocke ni ne traite de données de santé, - il ne permet aucune</w:t>
      </w:r>
      <w:r>
        <w:t xml:space="preserve"> </w:t>
      </w:r>
      <w:r>
        <w:t xml:space="preserve">identification de patient, - il est limité à des fonctions techniques et</w:t>
      </w:r>
      <w:r>
        <w:t xml:space="preserve"> </w:t>
      </w:r>
      <w:r>
        <w:t xml:space="preserve">administratives.</w:t>
      </w:r>
    </w:p>
    <w:p>
      <w:pPr>
        <w:pStyle w:val="BodyText"/>
      </w:pPr>
      <w:r>
        <w:t xml:space="preserve">Il respecte les principes suivants : - Privacy by Design, - Least</w:t>
      </w:r>
      <w:r>
        <w:t xml:space="preserve"> </w:t>
      </w:r>
      <w:r>
        <w:t xml:space="preserve">Privilege, - Defense in Depth.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2026-10-11T18:03:53Z</dcterms:created>
  <dcterms:modified xsi:type="dcterms:W3CDTF">2026-10-11T18:03:53Z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