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F3B5C"/>
          <w:sz w:val="36"/>
          <w:szCs w:val="36"/>
        </w:rPr>
        <w:t xml:space="preserve">TeamHappi – Scope Statement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7740"/>
      </w:tblGrid>
      <w:tr>
        <w:trPr>
          <w:cantSplit/>
          <w:tblHeader/>
        </w:trPr>
        <w:tc>
          <w:tcPr>
            <w:tcW w:type="dxa" w:w="2166"/>
            <w:tcBorders>
              <w:top w:val="single" w:color="BFBFBF" w:sz="4"/>
              <w:left w:val="single" w:color="BFBFBF" w:sz="4"/>
              <w:bottom w:val="single" w:color="BFBFBF" w:sz="4"/>
              <w:right w:val="single" w:color="BFBFBF" w:sz="4"/>
            </w:tcBorders>
            <w:shd w:fill="1F3B5C" w:color="auto" w:val="clear"/>
            <w:tcMar>
              <w:top w:type="dxa" w:w="50"/>
              <w:left w:type="dxa" w:w="80"/>
              <w:bottom w:type="dxa" w:w="50"/>
              <w:right w:type="dxa" w:w="80"/>
            </w:tcMar>
          </w:tcPr>
          <w:p>
            <w:pPr>
              <w:jc w:val="left"/>
            </w:pPr>
            <w:r>
              <w:rPr>
                <w:rFonts w:ascii="Arial" w:cs="Arial" w:eastAsia="Arial" w:hAnsi="Arial"/>
                <w:b/>
                <w:bCs/>
                <w:color w:val="FFFFFF"/>
                <w:sz w:val="18"/>
                <w:szCs w:val="18"/>
              </w:rPr>
              <w:t xml:space="preserve">Field</w:t>
            </w:r>
          </w:p>
        </w:tc>
        <w:tc>
          <w:tcPr>
            <w:tcW w:type="dxa" w:w="7740"/>
            <w:tcBorders>
              <w:top w:val="single" w:color="BFBFBF" w:sz="4"/>
              <w:left w:val="single" w:color="BFBFBF" w:sz="4"/>
              <w:bottom w:val="single" w:color="BFBFBF" w:sz="4"/>
              <w:right w:val="single" w:color="BFBFBF" w:sz="4"/>
            </w:tcBorders>
            <w:shd w:fill="1F3B5C" w:color="auto" w:val="clear"/>
            <w:tcMar>
              <w:top w:type="dxa" w:w="50"/>
              <w:left w:type="dxa" w:w="80"/>
              <w:bottom w:type="dxa" w:w="50"/>
              <w:right w:type="dxa" w:w="80"/>
            </w:tcMar>
          </w:tcPr>
          <w:p>
            <w:pPr>
              <w:jc w:val="left"/>
            </w:pPr>
            <w:r>
              <w:rPr>
                <w:rFonts w:ascii="Arial" w:cs="Arial" w:eastAsia="Arial" w:hAnsi="Arial"/>
                <w:b/>
                <w:bCs/>
                <w:color w:val="FFFFFF"/>
                <w:sz w:val="18"/>
                <w:szCs w:val="18"/>
              </w:rPr>
              <w:t xml:space="preserve">Value</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Document</w:t>
            </w:r>
          </w:p>
        </w:tc>
        <w:tc>
          <w:tcPr>
            <w:tcW w:type="dxa" w:w="77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TH-DEV-02 Scope Statement</w:t>
            </w:r>
          </w:p>
        </w:tc>
      </w:tr>
      <w:tr>
        <w:trPr>
          <w:cantSplit/>
          <w:tblHeader w:val="false"/>
        </w:trPr>
        <w:tc>
          <w:tcPr>
            <w:tcW w:type="dxa" w:w="2166"/>
            <w:tcBorders>
              <w:top w:val="single" w:color="BFBFBF" w:sz="4"/>
              <w:left w:val="single" w:color="BFBFBF" w:sz="4"/>
              <w:bottom w:val="single" w:color="BFBFBF" w:sz="4"/>
              <w:right w:val="single" w:color="BFBFBF" w:sz="4"/>
            </w:tcBorders>
            <w:shd w:fill="F3F6F9" w:color="auto" w:val="clear"/>
            <w:tcMar>
              <w:top w:type="dxa" w:w="50"/>
              <w:left w:type="dxa" w:w="80"/>
              <w:bottom w:type="dxa" w:w="50"/>
              <w:right w:type="dxa" w:w="80"/>
            </w:tcMar>
          </w:tcPr>
          <w:p>
            <w:pPr>
              <w:jc w:val="left"/>
            </w:pPr>
            <w:r>
              <w:rPr>
                <w:rFonts w:ascii="Arial" w:cs="Arial" w:eastAsia="Arial" w:hAnsi="Arial"/>
                <w:color w:val="000000"/>
                <w:sz w:val="18"/>
                <w:szCs w:val="18"/>
              </w:rPr>
              <w:t xml:space="preserve">Version</w:t>
            </w:r>
          </w:p>
        </w:tc>
        <w:tc>
          <w:tcPr>
            <w:tcW w:type="dxa" w:w="7740"/>
            <w:tcBorders>
              <w:top w:val="single" w:color="BFBFBF" w:sz="4"/>
              <w:left w:val="single" w:color="BFBFBF" w:sz="4"/>
              <w:bottom w:val="single" w:color="BFBFBF" w:sz="4"/>
              <w:right w:val="single" w:color="BFBFBF" w:sz="4"/>
            </w:tcBorders>
            <w:shd w:fill="F3F6F9" w:color="auto" w:val="clear"/>
            <w:tcMar>
              <w:top w:type="dxa" w:w="50"/>
              <w:left w:type="dxa" w:w="80"/>
              <w:bottom w:type="dxa" w:w="50"/>
              <w:right w:type="dxa" w:w="80"/>
            </w:tcMar>
          </w:tcPr>
          <w:p>
            <w:pPr>
              <w:jc w:val="left"/>
            </w:pPr>
            <w:r>
              <w:rPr>
                <w:rFonts w:ascii="Arial" w:cs="Arial" w:eastAsia="Arial" w:hAnsi="Arial"/>
                <w:color w:val="000000"/>
                <w:sz w:val="18"/>
                <w:szCs w:val="18"/>
              </w:rPr>
              <w:t xml:space="preserve">0.1 – Draft for review</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Date</w:t>
            </w:r>
          </w:p>
        </w:tc>
        <w:tc>
          <w:tcPr>
            <w:tcW w:type="dxa" w:w="77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6 October 2026</w:t>
            </w:r>
          </w:p>
        </w:tc>
      </w:tr>
      <w:tr>
        <w:trPr>
          <w:cantSplit/>
          <w:tblHeader w:val="false"/>
        </w:trPr>
        <w:tc>
          <w:tcPr>
            <w:tcW w:type="dxa" w:w="2166"/>
            <w:tcBorders>
              <w:top w:val="single" w:color="BFBFBF" w:sz="4"/>
              <w:left w:val="single" w:color="BFBFBF" w:sz="4"/>
              <w:bottom w:val="single" w:color="BFBFBF" w:sz="4"/>
              <w:right w:val="single" w:color="BFBFBF" w:sz="4"/>
            </w:tcBorders>
            <w:shd w:fill="F3F6F9" w:color="auto" w:val="clear"/>
            <w:tcMar>
              <w:top w:type="dxa" w:w="50"/>
              <w:left w:type="dxa" w:w="80"/>
              <w:bottom w:type="dxa" w:w="50"/>
              <w:right w:type="dxa" w:w="80"/>
            </w:tcMar>
          </w:tcPr>
          <w:p>
            <w:pPr>
              <w:jc w:val="left"/>
            </w:pPr>
            <w:r>
              <w:rPr>
                <w:rFonts w:ascii="Arial" w:cs="Arial" w:eastAsia="Arial" w:hAnsi="Arial"/>
                <w:color w:val="000000"/>
                <w:sz w:val="18"/>
                <w:szCs w:val="18"/>
              </w:rPr>
              <w:t xml:space="preserve">Owner</w:t>
            </w:r>
          </w:p>
        </w:tc>
        <w:tc>
          <w:tcPr>
            <w:tcW w:type="dxa" w:w="7740"/>
            <w:tcBorders>
              <w:top w:val="single" w:color="BFBFBF" w:sz="4"/>
              <w:left w:val="single" w:color="BFBFBF" w:sz="4"/>
              <w:bottom w:val="single" w:color="BFBFBF" w:sz="4"/>
              <w:right w:val="single" w:color="BFBFBF" w:sz="4"/>
            </w:tcBorders>
            <w:shd w:fill="F3F6F9" w:color="auto" w:val="clear"/>
            <w:tcMar>
              <w:top w:type="dxa" w:w="50"/>
              <w:left w:type="dxa" w:w="80"/>
              <w:bottom w:type="dxa" w:w="50"/>
              <w:right w:type="dxa" w:w="80"/>
            </w:tcMar>
          </w:tcPr>
          <w:p>
            <w:pPr>
              <w:jc w:val="left"/>
            </w:pPr>
            <w:r>
              <w:rPr>
                <w:rFonts w:ascii="Arial" w:cs="Arial" w:eastAsia="Arial" w:hAnsi="Arial"/>
                <w:color w:val="000000"/>
                <w:sz w:val="18"/>
                <w:szCs w:val="18"/>
              </w:rPr>
              <w:t xml:space="preserve">Macrovision Digital Solution (product owner)</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Related</w:t>
            </w:r>
          </w:p>
        </w:tc>
        <w:tc>
          <w:tcPr>
            <w:tcW w:type="dxa" w:w="77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TH-DEV-01, TH-DEV-03, TH-DEV-11</w:t>
            </w:r>
          </w:p>
        </w:tc>
      </w:tr>
    </w:tbl>
    <w:p/>
    <w:p>
      <w:pPr>
        <w:pStyle w:val="Heading1"/>
        <w:keepNext/>
        <w:spacing w:after="120" w:before="280"/>
      </w:pPr>
      <w:r>
        <w:rPr>
          <w:rFonts w:ascii="Arial" w:cs="Arial" w:eastAsia="Arial" w:hAnsi="Arial"/>
          <w:b/>
          <w:bCs/>
          <w:color w:val="1F3B5C"/>
          <w:sz w:val="28"/>
          <w:szCs w:val="28"/>
        </w:rPr>
        <w:t xml:space="preserve">1. Purpose</w:t>
      </w:r>
    </w:p>
    <w:p>
      <w:pPr>
        <w:keepNext w:val="false"/>
        <w:spacing w:after="120"/>
      </w:pPr>
      <w:r>
        <w:rPr>
          <w:rFonts w:ascii="Arial" w:cs="Arial" w:eastAsia="Arial" w:hAnsi="Arial"/>
          <w:sz w:val="21"/>
          <w:szCs w:val="21"/>
        </w:rPr>
        <w:t xml:space="preserve">This document sets the boundary of the TeamHappi product. It lists what is in scope, what is out of scope, and how releases will be planned. Anything not listed as in scope needs product owner approval before it is built.</w:t>
      </w:r>
    </w:p>
    <w:p>
      <w:pPr>
        <w:pStyle w:val="Heading1"/>
        <w:keepNext/>
        <w:spacing w:after="120" w:before="280"/>
      </w:pPr>
      <w:r>
        <w:rPr>
          <w:rFonts w:ascii="Arial" w:cs="Arial" w:eastAsia="Arial" w:hAnsi="Arial"/>
          <w:b/>
          <w:bCs/>
          <w:color w:val="1F3B5C"/>
          <w:sz w:val="28"/>
          <w:szCs w:val="28"/>
        </w:rPr>
        <w:t xml:space="preserve">2. Product scope (confirmed)</w:t>
      </w:r>
    </w:p>
    <w:p>
      <w:pPr>
        <w:keepNext w:val="false"/>
        <w:spacing w:after="120"/>
      </w:pPr>
      <w:r>
        <w:rPr>
          <w:rFonts w:ascii="Arial" w:cs="Arial" w:eastAsia="Arial" w:hAnsi="Arial"/>
          <w:sz w:val="21"/>
          <w:szCs w:val="21"/>
        </w:rPr>
        <w:t xml:space="preserve">TeamHappi is a multi-tenant workforce management system for restaurant and hospitality businesses. It covers seven required capabilities, delivered on one shared platform.</w:t>
      </w:r>
    </w:p>
    <w:p>
      <w:pPr>
        <w:keepNext/>
        <w:spacing w:after="120"/>
      </w:pPr>
      <w:r>
        <w:rPr>
          <w:rFonts w:ascii="Arial" w:cs="Arial" w:eastAsia="Arial" w:hAnsi="Arial"/>
          <w:b/>
          <w:bCs/>
          <w:sz w:val="21"/>
          <w:szCs w:val="21"/>
        </w:rPr>
        <w:t xml:space="preserve">Shared platform (required by all capabilities)</w:t>
      </w:r>
    </w:p>
    <w:p>
      <w:pPr>
        <w:pStyle w:val="ListParagraph"/>
        <w:numPr>
          <w:ilvl w:val="0"/>
          <w:numId w:val="2"/>
        </w:numPr>
        <w:spacing w:after="60"/>
      </w:pPr>
      <w:r>
        <w:rPr>
          <w:rFonts w:ascii="Arial" w:cs="Arial" w:eastAsia="Arial" w:hAnsi="Arial"/>
          <w:sz w:val="21"/>
          <w:szCs w:val="21"/>
        </w:rPr>
        <w:t xml:space="preserve">Client workspaces (tenants) with full data isolation</w:t>
      </w:r>
    </w:p>
    <w:p>
      <w:pPr>
        <w:pStyle w:val="ListParagraph"/>
        <w:numPr>
          <w:ilvl w:val="0"/>
          <w:numId w:val="2"/>
        </w:numPr>
        <w:spacing w:after="60"/>
      </w:pPr>
      <w:r>
        <w:rPr>
          <w:rFonts w:ascii="Arial" w:cs="Arial" w:eastAsia="Arial" w:hAnsi="Arial"/>
          <w:sz w:val="21"/>
          <w:szCs w:val="21"/>
        </w:rPr>
        <w:t xml:space="preserve">Sites, locations, teams and organisational structure per client</w:t>
      </w:r>
    </w:p>
    <w:p>
      <w:pPr>
        <w:pStyle w:val="ListParagraph"/>
        <w:numPr>
          <w:ilvl w:val="0"/>
          <w:numId w:val="2"/>
        </w:numPr>
        <w:spacing w:after="60"/>
      </w:pPr>
      <w:r>
        <w:rPr>
          <w:rFonts w:ascii="Arial" w:cs="Arial" w:eastAsia="Arial" w:hAnsi="Arial"/>
          <w:sz w:val="21"/>
          <w:szCs w:val="21"/>
        </w:rPr>
        <w:t xml:space="preserve">User accounts, authentication and role- and site-based permissions</w:t>
      </w:r>
    </w:p>
    <w:p>
      <w:pPr>
        <w:pStyle w:val="ListParagraph"/>
        <w:numPr>
          <w:ilvl w:val="0"/>
          <w:numId w:val="2"/>
        </w:numPr>
        <w:spacing w:after="60"/>
      </w:pPr>
      <w:r>
        <w:rPr>
          <w:rFonts w:ascii="Arial" w:cs="Arial" w:eastAsia="Arial" w:hAnsi="Arial"/>
          <w:sz w:val="21"/>
          <w:szCs w:val="21"/>
        </w:rPr>
        <w:t xml:space="preserve">People records shared by all modules</w:t>
      </w:r>
    </w:p>
    <w:p>
      <w:pPr>
        <w:pStyle w:val="ListParagraph"/>
        <w:numPr>
          <w:ilvl w:val="0"/>
          <w:numId w:val="2"/>
        </w:numPr>
        <w:spacing w:after="60"/>
      </w:pPr>
      <w:r>
        <w:rPr>
          <w:rFonts w:ascii="Arial" w:cs="Arial" w:eastAsia="Arial" w:hAnsi="Arial"/>
          <w:sz w:val="21"/>
          <w:szCs w:val="21"/>
        </w:rPr>
        <w:t xml:space="preserve">Secure document storage</w:t>
      </w:r>
    </w:p>
    <w:p>
      <w:pPr>
        <w:pStyle w:val="ListParagraph"/>
        <w:numPr>
          <w:ilvl w:val="0"/>
          <w:numId w:val="2"/>
        </w:numPr>
        <w:spacing w:after="60"/>
      </w:pPr>
      <w:r>
        <w:rPr>
          <w:rFonts w:ascii="Arial" w:cs="Arial" w:eastAsia="Arial" w:hAnsi="Arial"/>
          <w:sz w:val="21"/>
          <w:szCs w:val="21"/>
        </w:rPr>
        <w:t xml:space="preserve">Audit history</w:t>
      </w:r>
    </w:p>
    <w:p>
      <w:pPr>
        <w:pStyle w:val="ListParagraph"/>
        <w:numPr>
          <w:ilvl w:val="0"/>
          <w:numId w:val="2"/>
        </w:numPr>
        <w:spacing w:after="60"/>
      </w:pPr>
      <w:r>
        <w:rPr>
          <w:rFonts w:ascii="Arial" w:cs="Arial" w:eastAsia="Arial" w:hAnsi="Arial"/>
          <w:sz w:val="21"/>
          <w:szCs w:val="21"/>
        </w:rPr>
        <w:t xml:space="preserve">Notifications (email, SMS, push, in-app – channels to be confirmed)</w:t>
      </w:r>
    </w:p>
    <w:p>
      <w:pPr>
        <w:pStyle w:val="ListParagraph"/>
        <w:numPr>
          <w:ilvl w:val="0"/>
          <w:numId w:val="2"/>
        </w:numPr>
        <w:spacing w:after="60"/>
      </w:pPr>
      <w:r>
        <w:rPr>
          <w:rFonts w:ascii="Arial" w:cs="Arial" w:eastAsia="Arial" w:hAnsi="Arial"/>
          <w:sz w:val="21"/>
          <w:szCs w:val="21"/>
        </w:rPr>
        <w:t xml:space="preserve">Client configuration and settings</w:t>
      </w:r>
    </w:p>
    <w:p>
      <w:pPr>
        <w:pStyle w:val="ListParagraph"/>
        <w:numPr>
          <w:ilvl w:val="0"/>
          <w:numId w:val="2"/>
        </w:numPr>
        <w:spacing w:after="60"/>
      </w:pPr>
      <w:r>
        <w:rPr>
          <w:rFonts w:ascii="Arial" w:cs="Arial" w:eastAsia="Arial" w:hAnsi="Arial"/>
          <w:sz w:val="21"/>
          <w:szCs w:val="21"/>
        </w:rPr>
        <w:t xml:space="preserve">Macrovision super-admin and support console with audited access</w:t>
      </w:r>
    </w:p>
    <w:p>
      <w:pPr>
        <w:keepNext/>
        <w:spacing w:after="120"/>
      </w:pPr>
      <w:r>
        <w:rPr>
          <w:rFonts w:ascii="Arial" w:cs="Arial" w:eastAsia="Arial" w:hAnsi="Arial"/>
          <w:b/>
          <w:bCs/>
          <w:sz w:val="21"/>
          <w:szCs w:val="21"/>
        </w:rPr>
        <w:t xml:space="preserve">Capability 1 – Recruitment</w:t>
      </w:r>
    </w:p>
    <w:p>
      <w:pPr>
        <w:pStyle w:val="ListParagraph"/>
        <w:numPr>
          <w:ilvl w:val="0"/>
          <w:numId w:val="2"/>
        </w:numPr>
        <w:spacing w:after="60"/>
      </w:pPr>
      <w:r>
        <w:rPr>
          <w:rFonts w:ascii="Arial" w:cs="Arial" w:eastAsia="Arial" w:hAnsi="Arial"/>
          <w:sz w:val="21"/>
          <w:szCs w:val="21"/>
        </w:rPr>
        <w:t xml:space="preserve">Vacancy creation, approval and publishing to a job board and careers pages</w:t>
      </w:r>
    </w:p>
    <w:p>
      <w:pPr>
        <w:pStyle w:val="ListParagraph"/>
        <w:numPr>
          <w:ilvl w:val="0"/>
          <w:numId w:val="2"/>
        </w:numPr>
        <w:spacing w:after="60"/>
      </w:pPr>
      <w:r>
        <w:rPr>
          <w:rFonts w:ascii="Arial" w:cs="Arial" w:eastAsia="Arial" w:hAnsi="Arial"/>
          <w:sz w:val="21"/>
          <w:szCs w:val="21"/>
        </w:rPr>
        <w:t xml:space="preserve">Online applications, CV and supporting document upload</w:t>
      </w:r>
    </w:p>
    <w:p>
      <w:pPr>
        <w:pStyle w:val="ListParagraph"/>
        <w:numPr>
          <w:ilvl w:val="0"/>
          <w:numId w:val="2"/>
        </w:numPr>
        <w:spacing w:after="60"/>
      </w:pPr>
      <w:r>
        <w:rPr>
          <w:rFonts w:ascii="Arial" w:cs="Arial" w:eastAsia="Arial" w:hAnsi="Arial"/>
          <w:sz w:val="21"/>
          <w:szCs w:val="21"/>
        </w:rPr>
        <w:t xml:space="preserve">Screening, pipeline stages and shortlisting</w:t>
      </w:r>
    </w:p>
    <w:p>
      <w:pPr>
        <w:pStyle w:val="ListParagraph"/>
        <w:numPr>
          <w:ilvl w:val="0"/>
          <w:numId w:val="2"/>
        </w:numPr>
        <w:spacing w:after="60"/>
      </w:pPr>
      <w:r>
        <w:rPr>
          <w:rFonts w:ascii="Arial" w:cs="Arial" w:eastAsia="Arial" w:hAnsi="Arial"/>
          <w:sz w:val="21"/>
          <w:szCs w:val="21"/>
        </w:rPr>
        <w:t xml:space="preserve">Interview scheduling and interviewer feedback</w:t>
      </w:r>
    </w:p>
    <w:p>
      <w:pPr>
        <w:pStyle w:val="ListParagraph"/>
        <w:numPr>
          <w:ilvl w:val="0"/>
          <w:numId w:val="2"/>
        </w:numPr>
        <w:spacing w:after="60"/>
      </w:pPr>
      <w:r>
        <w:rPr>
          <w:rFonts w:ascii="Arial" w:cs="Arial" w:eastAsia="Arial" w:hAnsi="Arial"/>
          <w:sz w:val="21"/>
          <w:szCs w:val="21"/>
        </w:rPr>
        <w:t xml:space="preserve">Offers, acceptance and rejection</w:t>
      </w:r>
    </w:p>
    <w:p>
      <w:pPr>
        <w:pStyle w:val="ListParagraph"/>
        <w:numPr>
          <w:ilvl w:val="0"/>
          <w:numId w:val="2"/>
        </w:numPr>
        <w:spacing w:after="60"/>
      </w:pPr>
      <w:r>
        <w:rPr>
          <w:rFonts w:ascii="Arial" w:cs="Arial" w:eastAsia="Arial" w:hAnsi="Arial"/>
          <w:sz w:val="21"/>
          <w:szCs w:val="21"/>
        </w:rPr>
        <w:t xml:space="preserve">Conversion of a successful candidate into an employee record</w:t>
      </w:r>
    </w:p>
    <w:p>
      <w:pPr>
        <w:keepNext/>
        <w:spacing w:after="120"/>
      </w:pPr>
      <w:r>
        <w:rPr>
          <w:rFonts w:ascii="Arial" w:cs="Arial" w:eastAsia="Arial" w:hAnsi="Arial"/>
          <w:b/>
          <w:bCs/>
          <w:sz w:val="21"/>
          <w:szCs w:val="21"/>
        </w:rPr>
        <w:t xml:space="preserve">Capability 2 – Onboarding and compliance</w:t>
      </w:r>
    </w:p>
    <w:p>
      <w:pPr>
        <w:pStyle w:val="ListParagraph"/>
        <w:numPr>
          <w:ilvl w:val="0"/>
          <w:numId w:val="2"/>
        </w:numPr>
        <w:spacing w:after="60"/>
      </w:pPr>
      <w:r>
        <w:rPr>
          <w:rFonts w:ascii="Arial" w:cs="Arial" w:eastAsia="Arial" w:hAnsi="Arial"/>
          <w:sz w:val="21"/>
          <w:szCs w:val="21"/>
        </w:rPr>
        <w:t xml:space="preserve">Onboarding task lists and document collection</w:t>
      </w:r>
    </w:p>
    <w:p>
      <w:pPr>
        <w:pStyle w:val="ListParagraph"/>
        <w:numPr>
          <w:ilvl w:val="0"/>
          <w:numId w:val="2"/>
        </w:numPr>
        <w:spacing w:after="60"/>
      </w:pPr>
      <w:r>
        <w:rPr>
          <w:rFonts w:ascii="Arial" w:cs="Arial" w:eastAsia="Arial" w:hAnsi="Arial"/>
          <w:sz w:val="21"/>
          <w:szCs w:val="21"/>
        </w:rPr>
        <w:t xml:space="preserve">Recording of employer-led right-to-work checks, evidence, expiry dates and follow-up actions</w:t>
      </w:r>
    </w:p>
    <w:p>
      <w:pPr>
        <w:pStyle w:val="ListParagraph"/>
        <w:numPr>
          <w:ilvl w:val="0"/>
          <w:numId w:val="2"/>
        </w:numPr>
        <w:spacing w:after="60"/>
      </w:pPr>
      <w:r>
        <w:rPr>
          <w:rFonts w:ascii="Arial" w:cs="Arial" w:eastAsia="Arial" w:hAnsi="Arial"/>
          <w:sz w:val="21"/>
          <w:szCs w:val="21"/>
        </w:rPr>
        <w:t xml:space="preserve">Compliance status visible to managers</w:t>
      </w:r>
    </w:p>
    <w:p>
      <w:pPr>
        <w:keepNext w:val="false"/>
        <w:spacing w:after="120"/>
      </w:pPr>
      <w:r>
        <w:rPr>
          <w:rFonts w:ascii="Arial" w:cs="Arial" w:eastAsia="Arial" w:hAnsi="Arial"/>
          <w:sz w:val="21"/>
          <w:szCs w:val="21"/>
        </w:rPr>
        <w:t xml:space="preserve">In the UK, the employer's right-to-work check must take place before employment begins. TeamHappi supports and records the employer's check. It does not make the legal decision.</w:t>
      </w:r>
    </w:p>
    <w:p>
      <w:pPr>
        <w:keepNext/>
        <w:spacing w:after="120"/>
      </w:pPr>
      <w:r>
        <w:rPr>
          <w:rFonts w:ascii="Arial" w:cs="Arial" w:eastAsia="Arial" w:hAnsi="Arial"/>
          <w:b/>
          <w:bCs/>
          <w:sz w:val="21"/>
          <w:szCs w:val="21"/>
        </w:rPr>
        <w:t xml:space="preserve">Capability 3 – Training</w:t>
      </w:r>
    </w:p>
    <w:p>
      <w:pPr>
        <w:pStyle w:val="ListParagraph"/>
        <w:numPr>
          <w:ilvl w:val="0"/>
          <w:numId w:val="2"/>
        </w:numPr>
        <w:spacing w:after="60"/>
      </w:pPr>
      <w:r>
        <w:rPr>
          <w:rFonts w:ascii="Arial" w:cs="Arial" w:eastAsia="Arial" w:hAnsi="Arial"/>
          <w:sz w:val="21"/>
          <w:szCs w:val="21"/>
        </w:rPr>
        <w:t xml:space="preserve">Assigning required training by role, site or person</w:t>
      </w:r>
    </w:p>
    <w:p>
      <w:pPr>
        <w:pStyle w:val="ListParagraph"/>
        <w:numPr>
          <w:ilvl w:val="0"/>
          <w:numId w:val="2"/>
        </w:numPr>
        <w:spacing w:after="60"/>
      </w:pPr>
      <w:r>
        <w:rPr>
          <w:rFonts w:ascii="Arial" w:cs="Arial" w:eastAsia="Arial" w:hAnsi="Arial"/>
          <w:sz w:val="21"/>
          <w:szCs w:val="21"/>
        </w:rPr>
        <w:t xml:space="preserve">In-system completion where appropriate, and upload of external certificates</w:t>
      </w:r>
    </w:p>
    <w:p>
      <w:pPr>
        <w:pStyle w:val="ListParagraph"/>
        <w:numPr>
          <w:ilvl w:val="0"/>
          <w:numId w:val="2"/>
        </w:numPr>
        <w:spacing w:after="60"/>
      </w:pPr>
      <w:r>
        <w:rPr>
          <w:rFonts w:ascii="Arial" w:cs="Arial" w:eastAsia="Arial" w:hAnsi="Arial"/>
          <w:sz w:val="21"/>
          <w:szCs w:val="21"/>
        </w:rPr>
        <w:t xml:space="preserve">Completion, outstanding, renewal and expiry tracking for managers</w:t>
      </w:r>
    </w:p>
    <w:p>
      <w:pPr>
        <w:keepNext/>
        <w:spacing w:after="120"/>
      </w:pPr>
      <w:r>
        <w:rPr>
          <w:rFonts w:ascii="Arial" w:cs="Arial" w:eastAsia="Arial" w:hAnsi="Arial"/>
          <w:b/>
          <w:bCs/>
          <w:sz w:val="21"/>
          <w:szCs w:val="21"/>
        </w:rPr>
        <w:t xml:space="preserve">Capability 4 – Rota, scheduling and shifts</w:t>
      </w:r>
    </w:p>
    <w:p>
      <w:pPr>
        <w:pStyle w:val="ListParagraph"/>
        <w:numPr>
          <w:ilvl w:val="0"/>
          <w:numId w:val="2"/>
        </w:numPr>
        <w:spacing w:after="60"/>
      </w:pPr>
      <w:r>
        <w:rPr>
          <w:rFonts w:ascii="Arial" w:cs="Arial" w:eastAsia="Arial" w:hAnsi="Arial"/>
          <w:sz w:val="21"/>
          <w:szCs w:val="21"/>
        </w:rPr>
        <w:t xml:space="preserve">Creating, publishing and changing rotas and shifts across sites and teams</w:t>
      </w:r>
    </w:p>
    <w:p>
      <w:pPr>
        <w:pStyle w:val="ListParagraph"/>
        <w:numPr>
          <w:ilvl w:val="0"/>
          <w:numId w:val="2"/>
        </w:numPr>
        <w:spacing w:after="60"/>
      </w:pPr>
      <w:r>
        <w:rPr>
          <w:rFonts w:ascii="Arial" w:cs="Arial" w:eastAsia="Arial" w:hAnsi="Arial"/>
          <w:sz w:val="21"/>
          <w:szCs w:val="21"/>
        </w:rPr>
        <w:t xml:space="preserve">Worker schedule view</w:t>
      </w:r>
    </w:p>
    <w:p>
      <w:pPr>
        <w:pStyle w:val="ListParagraph"/>
        <w:numPr>
          <w:ilvl w:val="0"/>
          <w:numId w:val="2"/>
        </w:numPr>
        <w:spacing w:after="60"/>
      </w:pPr>
      <w:r>
        <w:rPr>
          <w:rFonts w:ascii="Arial" w:cs="Arial" w:eastAsia="Arial" w:hAnsi="Arial"/>
          <w:sz w:val="21"/>
          <w:szCs w:val="21"/>
        </w:rPr>
        <w:t xml:space="preserve">Availability, change requests and shift swaps where enabled</w:t>
      </w:r>
    </w:p>
    <w:p>
      <w:pPr>
        <w:pStyle w:val="ListParagraph"/>
        <w:numPr>
          <w:ilvl w:val="0"/>
          <w:numId w:val="2"/>
        </w:numPr>
        <w:spacing w:after="60"/>
      </w:pPr>
      <w:r>
        <w:rPr>
          <w:rFonts w:ascii="Arial" w:cs="Arial" w:eastAsia="Arial" w:hAnsi="Arial"/>
          <w:sz w:val="21"/>
          <w:szCs w:val="21"/>
        </w:rPr>
        <w:t xml:space="preserve">Notifications of published and changed shifts</w:t>
      </w:r>
    </w:p>
    <w:p>
      <w:pPr>
        <w:keepNext/>
        <w:spacing w:after="120"/>
      </w:pPr>
      <w:r>
        <w:rPr>
          <w:rFonts w:ascii="Arial" w:cs="Arial" w:eastAsia="Arial" w:hAnsi="Arial"/>
          <w:b/>
          <w:bCs/>
          <w:sz w:val="21"/>
          <w:szCs w:val="21"/>
        </w:rPr>
        <w:t xml:space="preserve">Capability 5 – Time, attendance and holidays</w:t>
      </w:r>
    </w:p>
    <w:p>
      <w:pPr>
        <w:pStyle w:val="ListParagraph"/>
        <w:numPr>
          <w:ilvl w:val="0"/>
          <w:numId w:val="2"/>
        </w:numPr>
        <w:spacing w:after="60"/>
      </w:pPr>
      <w:r>
        <w:rPr>
          <w:rFonts w:ascii="Arial" w:cs="Arial" w:eastAsia="Arial" w:hAnsi="Arial"/>
          <w:sz w:val="21"/>
          <w:szCs w:val="21"/>
        </w:rPr>
        <w:t xml:space="preserve">Timesheet submission or time recording</w:t>
      </w:r>
    </w:p>
    <w:p>
      <w:pPr>
        <w:pStyle w:val="ListParagraph"/>
        <w:numPr>
          <w:ilvl w:val="0"/>
          <w:numId w:val="2"/>
        </w:numPr>
        <w:spacing w:after="60"/>
      </w:pPr>
      <w:r>
        <w:rPr>
          <w:rFonts w:ascii="Arial" w:cs="Arial" w:eastAsia="Arial" w:hAnsi="Arial"/>
          <w:sz w:val="21"/>
          <w:szCs w:val="21"/>
        </w:rPr>
        <w:t xml:space="preserve">Manager review and approval</w:t>
      </w:r>
    </w:p>
    <w:p>
      <w:pPr>
        <w:pStyle w:val="ListParagraph"/>
        <w:numPr>
          <w:ilvl w:val="0"/>
          <w:numId w:val="2"/>
        </w:numPr>
        <w:spacing w:after="60"/>
      </w:pPr>
      <w:r>
        <w:rPr>
          <w:rFonts w:ascii="Arial" w:cs="Arial" w:eastAsia="Arial" w:hAnsi="Arial"/>
          <w:sz w:val="21"/>
          <w:szCs w:val="21"/>
        </w:rPr>
        <w:t xml:space="preserve">Holiday requests, approval and decline</w:t>
      </w:r>
    </w:p>
    <w:p>
      <w:pPr>
        <w:pStyle w:val="ListParagraph"/>
        <w:numPr>
          <w:ilvl w:val="0"/>
          <w:numId w:val="2"/>
        </w:numPr>
        <w:spacing w:after="60"/>
      </w:pPr>
      <w:r>
        <w:rPr>
          <w:rFonts w:ascii="Arial" w:cs="Arial" w:eastAsia="Arial" w:hAnsi="Arial"/>
          <w:sz w:val="21"/>
          <w:szCs w:val="21"/>
        </w:rPr>
        <w:t xml:space="preserve">Leave balances and absence records</w:t>
      </w:r>
    </w:p>
    <w:p>
      <w:pPr>
        <w:keepNext/>
        <w:spacing w:after="120"/>
      </w:pPr>
      <w:r>
        <w:rPr>
          <w:rFonts w:ascii="Arial" w:cs="Arial" w:eastAsia="Arial" w:hAnsi="Arial"/>
          <w:b/>
          <w:bCs/>
          <w:sz w:val="21"/>
          <w:szCs w:val="21"/>
        </w:rPr>
        <w:t xml:space="preserve">Capability 6 – Payroll and payslips</w:t>
      </w:r>
    </w:p>
    <w:p>
      <w:pPr>
        <w:pStyle w:val="ListParagraph"/>
        <w:numPr>
          <w:ilvl w:val="0"/>
          <w:numId w:val="2"/>
        </w:numPr>
        <w:spacing w:after="60"/>
      </w:pPr>
      <w:r>
        <w:rPr>
          <w:rFonts w:ascii="Arial" w:cs="Arial" w:eastAsia="Arial" w:hAnsi="Arial"/>
          <w:sz w:val="21"/>
          <w:szCs w:val="21"/>
        </w:rPr>
        <w:t xml:space="preserve">Pay periods and pay runs</w:t>
      </w:r>
    </w:p>
    <w:p>
      <w:pPr>
        <w:pStyle w:val="ListParagraph"/>
        <w:numPr>
          <w:ilvl w:val="0"/>
          <w:numId w:val="2"/>
        </w:numPr>
        <w:spacing w:after="60"/>
      </w:pPr>
      <w:r>
        <w:rPr>
          <w:rFonts w:ascii="Arial" w:cs="Arial" w:eastAsia="Arial" w:hAnsi="Arial"/>
          <w:sz w:val="21"/>
          <w:szCs w:val="21"/>
        </w:rPr>
        <w:t xml:space="preserve">Payroll calculation from approved time and leave data</w:t>
      </w:r>
    </w:p>
    <w:p>
      <w:pPr>
        <w:pStyle w:val="ListParagraph"/>
        <w:numPr>
          <w:ilvl w:val="0"/>
          <w:numId w:val="2"/>
        </w:numPr>
        <w:spacing w:after="60"/>
      </w:pPr>
      <w:r>
        <w:rPr>
          <w:rFonts w:ascii="Arial" w:cs="Arial" w:eastAsia="Arial" w:hAnsi="Arial"/>
          <w:sz w:val="21"/>
          <w:szCs w:val="21"/>
        </w:rPr>
        <w:t xml:space="preserve">Adjustments, approvals, corrections and reversals</w:t>
      </w:r>
    </w:p>
    <w:p>
      <w:pPr>
        <w:pStyle w:val="ListParagraph"/>
        <w:numPr>
          <w:ilvl w:val="0"/>
          <w:numId w:val="2"/>
        </w:numPr>
        <w:spacing w:after="60"/>
      </w:pPr>
      <w:r>
        <w:rPr>
          <w:rFonts w:ascii="Arial" w:cs="Arial" w:eastAsia="Arial" w:hAnsi="Arial"/>
          <w:sz w:val="21"/>
          <w:szCs w:val="21"/>
        </w:rPr>
        <w:t xml:space="preserve">An individual payslip for each worker, viewed securely by that worker</w:t>
      </w:r>
    </w:p>
    <w:p>
      <w:pPr>
        <w:keepNext w:val="false"/>
        <w:spacing w:after="120"/>
      </w:pPr>
      <w:r>
        <w:rPr>
          <w:rFonts w:ascii="Arial" w:cs="Arial" w:eastAsia="Arial" w:hAnsi="Arial"/>
          <w:sz w:val="21"/>
          <w:szCs w:val="21"/>
        </w:rPr>
        <w:t xml:space="preserve">Payroll processing is required in-house. Integrations may supplement it but not replace it. UK calculations, deductions, statutory reporting and pay rules will be specified and validated with qualified payroll and legal specialists before build.</w:t>
      </w:r>
    </w:p>
    <w:p>
      <w:pPr>
        <w:keepNext/>
        <w:spacing w:after="120"/>
      </w:pPr>
      <w:r>
        <w:rPr>
          <w:rFonts w:ascii="Arial" w:cs="Arial" w:eastAsia="Arial" w:hAnsi="Arial"/>
          <w:b/>
          <w:bCs/>
          <w:sz w:val="21"/>
          <w:szCs w:val="21"/>
        </w:rPr>
        <w:t xml:space="preserve">Capability 7 – Management and administration</w:t>
      </w:r>
    </w:p>
    <w:p>
      <w:pPr>
        <w:pStyle w:val="ListParagraph"/>
        <w:numPr>
          <w:ilvl w:val="0"/>
          <w:numId w:val="2"/>
        </w:numPr>
        <w:spacing w:after="60"/>
      </w:pPr>
      <w:r>
        <w:rPr>
          <w:rFonts w:ascii="Arial" w:cs="Arial" w:eastAsia="Arial" w:hAnsi="Arial"/>
          <w:sz w:val="21"/>
          <w:szCs w:val="21"/>
        </w:rPr>
        <w:t xml:space="preserve">Employee records, roles, sites and approval chains</w:t>
      </w:r>
    </w:p>
    <w:p>
      <w:pPr>
        <w:pStyle w:val="ListParagraph"/>
        <w:numPr>
          <w:ilvl w:val="0"/>
          <w:numId w:val="2"/>
        </w:numPr>
        <w:spacing w:after="60"/>
      </w:pPr>
      <w:r>
        <w:rPr>
          <w:rFonts w:ascii="Arial" w:cs="Arial" w:eastAsia="Arial" w:hAnsi="Arial"/>
          <w:sz w:val="21"/>
          <w:szCs w:val="21"/>
        </w:rPr>
        <w:t xml:space="preserve">Appraisals</w:t>
      </w:r>
    </w:p>
    <w:p>
      <w:pPr>
        <w:pStyle w:val="ListParagraph"/>
        <w:numPr>
          <w:ilvl w:val="0"/>
          <w:numId w:val="2"/>
        </w:numPr>
        <w:spacing w:after="60"/>
      </w:pPr>
      <w:r>
        <w:rPr>
          <w:rFonts w:ascii="Arial" w:cs="Arial" w:eastAsia="Arial" w:hAnsi="Arial"/>
          <w:sz w:val="21"/>
          <w:szCs w:val="21"/>
        </w:rPr>
        <w:t xml:space="preserve">Reporting</w:t>
      </w:r>
    </w:p>
    <w:p>
      <w:pPr>
        <w:pStyle w:val="ListParagraph"/>
        <w:numPr>
          <w:ilvl w:val="0"/>
          <w:numId w:val="2"/>
        </w:numPr>
        <w:spacing w:after="60"/>
      </w:pPr>
      <w:r>
        <w:rPr>
          <w:rFonts w:ascii="Arial" w:cs="Arial" w:eastAsia="Arial" w:hAnsi="Arial"/>
          <w:sz w:val="21"/>
          <w:szCs w:val="21"/>
        </w:rPr>
        <w:t xml:space="preserve">Client configuration</w:t>
      </w:r>
    </w:p>
    <w:p>
      <w:pPr>
        <w:pStyle w:val="ListParagraph"/>
        <w:numPr>
          <w:ilvl w:val="0"/>
          <w:numId w:val="2"/>
        </w:numPr>
        <w:spacing w:after="60"/>
      </w:pPr>
      <w:r>
        <w:rPr>
          <w:rFonts w:ascii="Arial" w:cs="Arial" w:eastAsia="Arial" w:hAnsi="Arial"/>
          <w:sz w:val="21"/>
          <w:szCs w:val="21"/>
        </w:rPr>
        <w:t xml:space="preserve">Multi-client onboarding and support by Macrovision</w:t>
      </w:r>
    </w:p>
    <w:p>
      <w:pPr>
        <w:pStyle w:val="Heading1"/>
        <w:keepNext/>
        <w:spacing w:after="120" w:before="280"/>
      </w:pPr>
      <w:r>
        <w:rPr>
          <w:rFonts w:ascii="Arial" w:cs="Arial" w:eastAsia="Arial" w:hAnsi="Arial"/>
          <w:b/>
          <w:bCs/>
          <w:color w:val="1F3B5C"/>
          <w:sz w:val="28"/>
          <w:szCs w:val="28"/>
        </w:rPr>
        <w:t xml:space="preserve">3. Out of scope (until approved)</w:t>
      </w:r>
    </w:p>
    <w:p>
      <w:pPr>
        <w:keepNext w:val="false"/>
        <w:spacing w:after="120"/>
      </w:pPr>
      <w:r>
        <w:rPr>
          <w:rFonts w:ascii="Arial" w:cs="Arial" w:eastAsia="Arial" w:hAnsi="Arial"/>
          <w:sz w:val="21"/>
          <w:szCs w:val="21"/>
        </w:rPr>
        <w:t xml:space="preserve">These items are not part of the confirmed scope. They may be proposed and prioritised later.</w:t>
      </w:r>
    </w:p>
    <w:p>
      <w:pPr>
        <w:pStyle w:val="ListParagraph"/>
        <w:numPr>
          <w:ilvl w:val="0"/>
          <w:numId w:val="2"/>
        </w:numPr>
        <w:spacing w:after="60"/>
      </w:pPr>
      <w:r>
        <w:rPr>
          <w:rFonts w:ascii="Arial" w:cs="Arial" w:eastAsia="Arial" w:hAnsi="Arial"/>
          <w:sz w:val="21"/>
          <w:szCs w:val="21"/>
        </w:rPr>
        <w:t xml:space="preserve">Features beyond the seven capabilities (for example EPOS integration, tips management, job board syndication, e-signature)</w:t>
      </w:r>
    </w:p>
    <w:p>
      <w:pPr>
        <w:pStyle w:val="ListParagraph"/>
        <w:numPr>
          <w:ilvl w:val="0"/>
          <w:numId w:val="2"/>
        </w:numPr>
        <w:spacing w:after="60"/>
      </w:pPr>
      <w:r>
        <w:rPr>
          <w:rFonts w:ascii="Arial" w:cs="Arial" w:eastAsia="Arial" w:hAnsi="Arial"/>
          <w:sz w:val="21"/>
          <w:szCs w:val="21"/>
        </w:rPr>
        <w:t xml:space="preserve">Countries other than the UK</w:t>
      </w:r>
    </w:p>
    <w:p>
      <w:pPr>
        <w:pStyle w:val="ListParagraph"/>
        <w:numPr>
          <w:ilvl w:val="0"/>
          <w:numId w:val="2"/>
        </w:numPr>
        <w:spacing w:after="60"/>
      </w:pPr>
      <w:r>
        <w:rPr>
          <w:rFonts w:ascii="Arial" w:cs="Arial" w:eastAsia="Arial" w:hAnsi="Arial"/>
          <w:sz w:val="21"/>
          <w:szCs w:val="21"/>
        </w:rPr>
        <w:t xml:space="preserve">Custom builds for a single client</w:t>
      </w:r>
    </w:p>
    <w:p>
      <w:pPr>
        <w:pStyle w:val="ListParagraph"/>
        <w:numPr>
          <w:ilvl w:val="0"/>
          <w:numId w:val="2"/>
        </w:numPr>
        <w:spacing w:after="60"/>
      </w:pPr>
      <w:r>
        <w:rPr>
          <w:rFonts w:ascii="Arial" w:cs="Arial" w:eastAsia="Arial" w:hAnsi="Arial"/>
          <w:sz w:val="21"/>
          <w:szCs w:val="21"/>
        </w:rPr>
        <w:t xml:space="preserve">Any automated legal decision on a person's right to work</w:t>
      </w:r>
    </w:p>
    <w:p>
      <w:pPr>
        <w:pStyle w:val="ListParagraph"/>
        <w:numPr>
          <w:ilvl w:val="0"/>
          <w:numId w:val="2"/>
        </w:numPr>
        <w:spacing w:after="60"/>
      </w:pPr>
      <w:r>
        <w:rPr>
          <w:rFonts w:ascii="Arial" w:cs="Arial" w:eastAsia="Arial" w:hAnsi="Arial"/>
          <w:sz w:val="21"/>
          <w:szCs w:val="21"/>
        </w:rPr>
        <w:t xml:space="preserve">Any claim of statutory compliance or certification before evidence exists</w:t>
      </w:r>
    </w:p>
    <w:p>
      <w:pPr>
        <w:pStyle w:val="Heading1"/>
        <w:keepNext/>
        <w:spacing w:after="120" w:before="280"/>
      </w:pPr>
      <w:r>
        <w:rPr>
          <w:rFonts w:ascii="Arial" w:cs="Arial" w:eastAsia="Arial" w:hAnsi="Arial"/>
          <w:b/>
          <w:bCs/>
          <w:color w:val="1F3B5C"/>
          <w:sz w:val="28"/>
          <w:szCs w:val="28"/>
        </w:rPr>
        <w:t xml:space="preserve">4. Release planning (OPEN)</w:t>
      </w:r>
    </w:p>
    <w:p>
      <w:pPr>
        <w:keepNext w:val="false"/>
        <w:spacing w:after="120"/>
      </w:pPr>
      <w:r>
        <w:rPr>
          <w:rFonts w:ascii="Arial" w:cs="Arial" w:eastAsia="Arial" w:hAnsi="Arial"/>
          <w:sz w:val="21"/>
          <w:szCs w:val="21"/>
        </w:rPr>
        <w:t xml:space="preserve">The product owner has not yet decided which capabilities belong in the first commercial release. Until then:</w:t>
      </w:r>
    </w:p>
    <w:p>
      <w:pPr>
        <w:pStyle w:val="ListParagraph"/>
        <w:numPr>
          <w:ilvl w:val="0"/>
          <w:numId w:val="2"/>
        </w:numPr>
        <w:spacing w:after="60"/>
      </w:pPr>
      <w:r>
        <w:rPr>
          <w:rFonts w:ascii="Arial" w:cs="Arial" w:eastAsia="Arial" w:hAnsi="Arial"/>
          <w:sz w:val="21"/>
          <w:szCs w:val="21"/>
        </w:rPr>
        <w:t xml:space="preserve">Developers plan the shared platform first, because every capability depends on it.</w:t>
      </w:r>
    </w:p>
    <w:p>
      <w:pPr>
        <w:pStyle w:val="ListParagraph"/>
        <w:numPr>
          <w:ilvl w:val="0"/>
          <w:numId w:val="2"/>
        </w:numPr>
        <w:spacing w:after="60"/>
      </w:pPr>
      <w:r>
        <w:rPr>
          <w:rFonts w:ascii="Arial" w:cs="Arial" w:eastAsia="Arial" w:hAnsi="Arial"/>
          <w:sz w:val="21"/>
          <w:szCs w:val="21"/>
        </w:rPr>
        <w:t xml:space="preserve">Module specifications are written as each release is confirmed.</w:t>
      </w:r>
    </w:p>
    <w:p>
      <w:pPr>
        <w:pStyle w:val="ListParagraph"/>
        <w:numPr>
          <w:ilvl w:val="0"/>
          <w:numId w:val="2"/>
        </w:numPr>
        <w:spacing w:after="60"/>
      </w:pPr>
      <w:r>
        <w:rPr>
          <w:rFonts w:ascii="Arial" w:cs="Arial" w:eastAsia="Arial" w:hAnsi="Arial"/>
          <w:sz w:val="21"/>
          <w:szCs w:val="21"/>
        </w:rPr>
        <w:t xml:space="preserve">No module is dropped or deferred indefinitely; each will be assigned to a planned release.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496"/>
        <w:gridCol w:w="3108"/>
      </w:tblGrid>
      <w:tr>
        <w:trPr>
          <w:cantSplit/>
          <w:tblHeader/>
        </w:trPr>
        <w:tc>
          <w:tcPr>
            <w:tcW w:type="dxa" w:w="3302"/>
            <w:tcBorders>
              <w:top w:val="single" w:color="BFBFBF" w:sz="4"/>
              <w:left w:val="single" w:color="BFBFBF" w:sz="4"/>
              <w:bottom w:val="single" w:color="BFBFBF" w:sz="4"/>
              <w:right w:val="single" w:color="BFBFBF" w:sz="4"/>
            </w:tcBorders>
            <w:shd w:fill="1F3B5C" w:color="auto" w:val="clear"/>
            <w:tcMar>
              <w:top w:type="dxa" w:w="50"/>
              <w:left w:type="dxa" w:w="80"/>
              <w:bottom w:type="dxa" w:w="50"/>
              <w:right w:type="dxa" w:w="80"/>
            </w:tcMar>
          </w:tcPr>
          <w:p>
            <w:pPr>
              <w:jc w:val="left"/>
            </w:pPr>
            <w:r>
              <w:rPr>
                <w:rFonts w:ascii="Arial" w:cs="Arial" w:eastAsia="Arial" w:hAnsi="Arial"/>
                <w:b/>
                <w:bCs/>
                <w:color w:val="FFFFFF"/>
                <w:sz w:val="18"/>
                <w:szCs w:val="18"/>
              </w:rPr>
              <w:t xml:space="preserve">Release</w:t>
            </w:r>
          </w:p>
        </w:tc>
        <w:tc>
          <w:tcPr>
            <w:tcW w:type="dxa" w:w="3496"/>
            <w:tcBorders>
              <w:top w:val="single" w:color="BFBFBF" w:sz="4"/>
              <w:left w:val="single" w:color="BFBFBF" w:sz="4"/>
              <w:bottom w:val="single" w:color="BFBFBF" w:sz="4"/>
              <w:right w:val="single" w:color="BFBFBF" w:sz="4"/>
            </w:tcBorders>
            <w:shd w:fill="1F3B5C" w:color="auto" w:val="clear"/>
            <w:tcMar>
              <w:top w:type="dxa" w:w="50"/>
              <w:left w:type="dxa" w:w="80"/>
              <w:bottom w:type="dxa" w:w="50"/>
              <w:right w:type="dxa" w:w="80"/>
            </w:tcMar>
          </w:tcPr>
          <w:p>
            <w:pPr>
              <w:jc w:val="left"/>
            </w:pPr>
            <w:r>
              <w:rPr>
                <w:rFonts w:ascii="Arial" w:cs="Arial" w:eastAsia="Arial" w:hAnsi="Arial"/>
                <w:b/>
                <w:bCs/>
                <w:color w:val="FFFFFF"/>
                <w:sz w:val="18"/>
                <w:szCs w:val="18"/>
              </w:rPr>
              <w:t xml:space="preserve">Capabilities</w:t>
            </w:r>
          </w:p>
        </w:tc>
        <w:tc>
          <w:tcPr>
            <w:tcW w:type="dxa" w:w="3108"/>
            <w:tcBorders>
              <w:top w:val="single" w:color="BFBFBF" w:sz="4"/>
              <w:left w:val="single" w:color="BFBFBF" w:sz="4"/>
              <w:bottom w:val="single" w:color="BFBFBF" w:sz="4"/>
              <w:right w:val="single" w:color="BFBFBF" w:sz="4"/>
            </w:tcBorders>
            <w:shd w:fill="1F3B5C" w:color="auto" w:val="clear"/>
            <w:tcMar>
              <w:top w:type="dxa" w:w="50"/>
              <w:left w:type="dxa" w:w="80"/>
              <w:bottom w:type="dxa" w:w="50"/>
              <w:right w:type="dxa" w:w="80"/>
            </w:tcMar>
          </w:tcPr>
          <w:p>
            <w:pPr>
              <w:jc w:val="left"/>
            </w:pPr>
            <w:r>
              <w:rPr>
                <w:rFonts w:ascii="Arial" w:cs="Arial" w:eastAsia="Arial" w:hAnsi="Arial"/>
                <w:b/>
                <w:bCs/>
                <w:color w:val="FFFFFF"/>
                <w:sz w:val="18"/>
                <w:szCs w:val="18"/>
              </w:rPr>
              <w:t xml:space="preserve">Status</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Foundation</w:t>
            </w:r>
          </w:p>
        </w:tc>
        <w:tc>
          <w:tcPr>
            <w:tcW w:type="dxa" w:w="34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Shared platform</w:t>
            </w:r>
          </w:p>
        </w:tc>
        <w:tc>
          <w:tcPr>
            <w:tcW w:type="dxa" w:w="31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Recommended to start first</w:t>
            </w:r>
          </w:p>
        </w:tc>
      </w:tr>
      <w:tr>
        <w:trPr>
          <w:cantSplit/>
          <w:tblHeader w:val="false"/>
        </w:trPr>
        <w:tc>
          <w:tcPr>
            <w:tcW w:type="dxa" w:w="3302"/>
            <w:tcBorders>
              <w:top w:val="single" w:color="BFBFBF" w:sz="4"/>
              <w:left w:val="single" w:color="BFBFBF" w:sz="4"/>
              <w:bottom w:val="single" w:color="BFBFBF" w:sz="4"/>
              <w:right w:val="single" w:color="BFBFBF" w:sz="4"/>
            </w:tcBorders>
            <w:shd w:fill="F3F6F9" w:color="auto" w:val="clear"/>
            <w:tcMar>
              <w:top w:type="dxa" w:w="50"/>
              <w:left w:type="dxa" w:w="80"/>
              <w:bottom w:type="dxa" w:w="50"/>
              <w:right w:type="dxa" w:w="80"/>
            </w:tcMar>
          </w:tcPr>
          <w:p>
            <w:pPr>
              <w:jc w:val="left"/>
            </w:pPr>
            <w:r>
              <w:rPr>
                <w:rFonts w:ascii="Arial" w:cs="Arial" w:eastAsia="Arial" w:hAnsi="Arial"/>
                <w:color w:val="000000"/>
                <w:sz w:val="18"/>
                <w:szCs w:val="18"/>
              </w:rPr>
              <w:t xml:space="preserve">Release 1 (first commercial)</w:t>
            </w:r>
          </w:p>
        </w:tc>
        <w:tc>
          <w:tcPr>
            <w:tcW w:type="dxa" w:w="3496"/>
            <w:tcBorders>
              <w:top w:val="single" w:color="BFBFBF" w:sz="4"/>
              <w:left w:val="single" w:color="BFBFBF" w:sz="4"/>
              <w:bottom w:val="single" w:color="BFBFBF" w:sz="4"/>
              <w:right w:val="single" w:color="BFBFBF" w:sz="4"/>
            </w:tcBorders>
            <w:shd w:fill="F3F6F9" w:color="auto" w:val="clear"/>
            <w:tcMar>
              <w:top w:type="dxa" w:w="50"/>
              <w:left w:type="dxa" w:w="80"/>
              <w:bottom w:type="dxa" w:w="50"/>
              <w:right w:type="dxa" w:w="80"/>
            </w:tcMar>
          </w:tcPr>
          <w:p>
            <w:pPr>
              <w:jc w:val="left"/>
            </w:pPr>
            <w:r>
              <w:rPr>
                <w:rFonts w:ascii="Arial" w:cs="Arial" w:eastAsia="Arial" w:hAnsi="Arial"/>
                <w:color w:val="000000"/>
                <w:sz w:val="18"/>
                <w:szCs w:val="18"/>
              </w:rPr>
              <w:t xml:space="preserve">To be decided by product owner</w:t>
            </w:r>
          </w:p>
        </w:tc>
        <w:tc>
          <w:tcPr>
            <w:tcW w:type="dxa" w:w="3108"/>
            <w:tcBorders>
              <w:top w:val="single" w:color="BFBFBF" w:sz="4"/>
              <w:left w:val="single" w:color="BFBFBF" w:sz="4"/>
              <w:bottom w:val="single" w:color="BFBFBF" w:sz="4"/>
              <w:right w:val="single" w:color="BFBFBF" w:sz="4"/>
            </w:tcBorders>
            <w:shd w:fill="F3F6F9" w:color="auto" w:val="clear"/>
            <w:tcMar>
              <w:top w:type="dxa" w:w="50"/>
              <w:left w:type="dxa" w:w="80"/>
              <w:bottom w:type="dxa" w:w="50"/>
              <w:right w:type="dxa" w:w="80"/>
            </w:tcMar>
          </w:tcPr>
          <w:p>
            <w:pPr>
              <w:jc w:val="left"/>
            </w:pPr>
            <w:r>
              <w:rPr>
                <w:rFonts w:ascii="Arial" w:cs="Arial" w:eastAsia="Arial" w:hAnsi="Arial"/>
                <w:color w:val="000000"/>
                <w:sz w:val="18"/>
                <w:szCs w:val="18"/>
              </w:rPr>
              <w:t xml:space="preserve">OPEN</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Later releases</w:t>
            </w:r>
          </w:p>
        </w:tc>
        <w:tc>
          <w:tcPr>
            <w:tcW w:type="dxa" w:w="34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Remaining capabilities</w:t>
            </w:r>
          </w:p>
        </w:tc>
        <w:tc>
          <w:tcPr>
            <w:tcW w:type="dxa" w:w="31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color w:val="000000"/>
                <w:sz w:val="18"/>
                <w:szCs w:val="18"/>
              </w:rPr>
              <w:t xml:space="preserve">OPEN</w:t>
            </w:r>
          </w:p>
        </w:tc>
      </w:tr>
    </w:tbl>
    <w:p/>
    <w:p>
      <w:pPr>
        <w:pStyle w:val="Heading1"/>
        <w:keepNext/>
        <w:spacing w:after="120" w:before="280"/>
      </w:pPr>
      <w:r>
        <w:rPr>
          <w:rFonts w:ascii="Arial" w:cs="Arial" w:eastAsia="Arial" w:hAnsi="Arial"/>
          <w:b/>
          <w:bCs/>
          <w:color w:val="1F3B5C"/>
          <w:sz w:val="28"/>
          <w:szCs w:val="28"/>
        </w:rPr>
        <w:t xml:space="preserve">5. Assumptions</w:t>
      </w:r>
    </w:p>
    <w:p>
      <w:pPr>
        <w:pStyle w:val="ListParagraph"/>
        <w:numPr>
          <w:ilvl w:val="0"/>
          <w:numId w:val="2"/>
        </w:numPr>
        <w:spacing w:after="60"/>
      </w:pPr>
      <w:r>
        <w:rPr>
          <w:rFonts w:ascii="Arial" w:cs="Arial" w:eastAsia="Arial" w:hAnsi="Arial"/>
          <w:sz w:val="21"/>
          <w:szCs w:val="21"/>
        </w:rPr>
        <w:t xml:space="preserve">The launch country is the UK (confirmed).</w:t>
      </w:r>
    </w:p>
    <w:p>
      <w:pPr>
        <w:pStyle w:val="ListParagraph"/>
        <w:numPr>
          <w:ilvl w:val="0"/>
          <w:numId w:val="2"/>
        </w:numPr>
        <w:spacing w:after="60"/>
      </w:pPr>
      <w:r>
        <w:rPr>
          <w:rFonts w:ascii="Arial" w:cs="Arial" w:eastAsia="Arial" w:hAnsi="Arial"/>
          <w:sz w:val="21"/>
          <w:szCs w:val="21"/>
        </w:rPr>
        <w:t xml:space="preserve">Clients range from single-site restaurants to multi-site hospitality groups.</w:t>
      </w:r>
    </w:p>
    <w:p>
      <w:pPr>
        <w:pStyle w:val="ListParagraph"/>
        <w:numPr>
          <w:ilvl w:val="0"/>
          <w:numId w:val="2"/>
        </w:numPr>
        <w:spacing w:after="60"/>
      </w:pPr>
      <w:r>
        <w:rPr>
          <w:rFonts w:ascii="Arial" w:cs="Arial" w:eastAsia="Arial" w:hAnsi="Arial"/>
          <w:sz w:val="21"/>
          <w:szCs w:val="21"/>
        </w:rPr>
        <w:t xml:space="preserve">Workers mainly use phones; managers use phones and computers; payroll and admin staff mainly use computers.</w:t>
      </w:r>
    </w:p>
    <w:p>
      <w:pPr>
        <w:pStyle w:val="Heading1"/>
        <w:keepNext/>
        <w:spacing w:after="120" w:before="280"/>
      </w:pPr>
      <w:r>
        <w:rPr>
          <w:rFonts w:ascii="Arial" w:cs="Arial" w:eastAsia="Arial" w:hAnsi="Arial"/>
          <w:b/>
          <w:bCs/>
          <w:color w:val="1F3B5C"/>
          <w:sz w:val="28"/>
          <w:szCs w:val="28"/>
        </w:rPr>
        <w:t xml:space="preserve">6. Constraints</w:t>
      </w:r>
    </w:p>
    <w:p>
      <w:pPr>
        <w:pStyle w:val="ListParagraph"/>
        <w:numPr>
          <w:ilvl w:val="0"/>
          <w:numId w:val="2"/>
        </w:numPr>
        <w:spacing w:after="60"/>
      </w:pPr>
      <w:r>
        <w:rPr>
          <w:rFonts w:ascii="Arial" w:cs="Arial" w:eastAsia="Arial" w:hAnsi="Arial"/>
          <w:sz w:val="21"/>
          <w:szCs w:val="21"/>
        </w:rPr>
        <w:t xml:space="preserve">All seven capabilities must remain in the product roadmap.</w:t>
      </w:r>
    </w:p>
    <w:p>
      <w:pPr>
        <w:pStyle w:val="ListParagraph"/>
        <w:numPr>
          <w:ilvl w:val="0"/>
          <w:numId w:val="2"/>
        </w:numPr>
        <w:spacing w:after="60"/>
      </w:pPr>
      <w:r>
        <w:rPr>
          <w:rFonts w:ascii="Arial" w:cs="Arial" w:eastAsia="Arial" w:hAnsi="Arial"/>
          <w:sz w:val="21"/>
          <w:szCs w:val="21"/>
        </w:rPr>
        <w:t xml:space="preserve">Payroll rules must be specified and validated by qualified specialists before they are built.</w:t>
      </w:r>
    </w:p>
    <w:p>
      <w:pPr>
        <w:pStyle w:val="ListParagraph"/>
        <w:numPr>
          <w:ilvl w:val="0"/>
          <w:numId w:val="2"/>
        </w:numPr>
        <w:spacing w:after="60"/>
      </w:pPr>
      <w:r>
        <w:rPr>
          <w:rFonts w:ascii="Arial" w:cs="Arial" w:eastAsia="Arial" w:hAnsi="Arial"/>
          <w:sz w:val="21"/>
          <w:szCs w:val="21"/>
        </w:rPr>
        <w:t xml:space="preserve">Personal data must be processed in line with UK data protection law (UK GDPR and the Data Protection Act 2018, as amended by the Data (Use and Access) Act 2025). Specific obligations must be confirmed by a qualified adviser.</w:t>
      </w:r>
    </w:p>
    <w:p>
      <w:pPr>
        <w:pStyle w:val="Heading1"/>
        <w:keepNext/>
        <w:spacing w:after="120" w:before="280"/>
      </w:pPr>
      <w:r>
        <w:rPr>
          <w:rFonts w:ascii="Arial" w:cs="Arial" w:eastAsia="Arial" w:hAnsi="Arial"/>
          <w:b/>
          <w:bCs/>
          <w:color w:val="1F3B5C"/>
          <w:sz w:val="28"/>
          <w:szCs w:val="28"/>
        </w:rPr>
        <w:t xml:space="preserve">7. Change control</w:t>
      </w:r>
    </w:p>
    <w:p>
      <w:pPr>
        <w:keepNext w:val="false"/>
        <w:spacing w:after="120"/>
      </w:pPr>
      <w:r>
        <w:rPr>
          <w:rFonts w:ascii="Arial" w:cs="Arial" w:eastAsia="Arial" w:hAnsi="Arial"/>
          <w:sz w:val="21"/>
          <w:szCs w:val="21"/>
        </w:rPr>
        <w:t xml:space="preserve">Scope changes are requested in writing, assessed for impact on time, cost and other modules, and approved by the product owner. Approved changes are recorded in TH-DEV-11.</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Macrovision Digital Solution · Draft 0.1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TeamHappi – Developer Pack · Scope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TeamHappi – Scope Statement</dc:title>
  <dc:creator>Macrovision Digital Solution</dc:creator>
  <cp:lastModifiedBy>Un-named</cp:lastModifiedBy>
  <cp:revision>1</cp:revision>
  <dcterms:created xsi:type="dcterms:W3CDTF">2026-10-06T14:37:51.062Z</dcterms:created>
  <dcterms:modified xsi:type="dcterms:W3CDTF">2026-10-06T14:37:51.062Z</dcterms:modified>
</cp:coreProperties>
</file>

<file path=docProps/custom.xml><?xml version="1.0" encoding="utf-8"?>
<Properties xmlns="http://schemas.openxmlformats.org/officeDocument/2006/custom-properties" xmlns:vt="http://schemas.openxmlformats.org/officeDocument/2006/docPropsVTypes"/>
</file>