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Arial" w:cs="Arial" w:eastAsia="Arial" w:hAnsi="Arial"/>
          <w:b/>
          <w:bCs/>
          <w:color w:val="1F3B5C"/>
          <w:sz w:val="36"/>
          <w:szCs w:val="36"/>
        </w:rPr>
        <w:t xml:space="preserve">TeamHappi – Architecture and Multi-Tenancy Requirements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9"/>
        <w:gridCol w:w="8007"/>
      </w:tblGrid>
      <w:tr>
        <w:trPr>
          <w:cantSplit/>
          <w:tblHeader/>
        </w:trPr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TH-DEV-04 Architecture and Multi-Tenancy Requirements</w:t>
            </w:r>
          </w:p>
        </w:tc>
      </w:tr>
      <w:tr>
        <w:trPr>
          <w:cantSplit/>
          <w:tblHeader w:val="false"/>
        </w:trPr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8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 – Draft for review</w:t>
            </w:r>
          </w:p>
        </w:tc>
      </w:tr>
      <w:tr>
        <w:trPr>
          <w:cantSplit/>
          <w:tblHeader w:val="false"/>
        </w:trPr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October 2026</w:t>
            </w:r>
          </w:p>
        </w:tc>
      </w:tr>
      <w:tr>
        <w:trPr>
          <w:cantSplit/>
          <w:tblHeader w:val="false"/>
        </w:trPr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8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Macrovision Digital Solution (product owner)</w:t>
            </w:r>
          </w:p>
        </w:tc>
      </w:tr>
      <w:tr>
        <w:trPr>
          <w:cantSplit/>
          <w:tblHeader w:val="false"/>
        </w:trPr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Related</w:t>
            </w:r>
          </w:p>
        </w:tc>
        <w:tc>
          <w:tcPr>
            <w:tcW w:type="dxa" w:w="8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TH-DEV-03, TH-DEV-05, TH-DEV-06, TH-DEV-07, TH-DEV-08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1. Purpose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states what the TeamHappi architecture must achieve. It does not choose the technology. The development team proposes the design and stack in TH-DEV-05, and records decisions as architecture decision records (ADRs).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Requirements marked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MUST</w:t>
      </w:r>
      <w:r>
        <w:rPr>
          <w:rFonts w:ascii="Arial" w:cs="Arial" w:eastAsia="Arial" w:hAnsi="Arial"/>
          <w:sz w:val="21"/>
          <w:szCs w:val="21"/>
        </w:rPr>
        <w:t xml:space="preserve"> are mandatory. Items marked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SHOULD</w:t>
      </w:r>
      <w:r>
        <w:rPr>
          <w:rFonts w:ascii="Arial" w:cs="Arial" w:eastAsia="Arial" w:hAnsi="Arial"/>
          <w:sz w:val="21"/>
          <w:szCs w:val="21"/>
        </w:rPr>
        <w:t xml:space="preserve"> are strong recommendations that need a recorded reason if not followed.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2. Logical structure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TeamHappi has one shared platform and seven capability modules. Modules exchange data through defined interfaces and events, not by reading each other's tables directly.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5905500" cy="3352800"/>
            <wp:effectExtent t="0" r="0" b="0" l="0"/>
            <wp:docPr id="1" name="diagram" descr="Hire-to-pay: each module feeds the next, on one shared platform" title="Module depend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Key data hand-offs between modules: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5"/>
        <w:gridCol w:w="1965"/>
        <w:gridCol w:w="5976"/>
      </w:tblGrid>
      <w:tr>
        <w:trPr>
          <w:cantSplit/>
          <w:tblHeader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passes</w:t>
            </w:r>
          </w:p>
        </w:tc>
      </w:tr>
      <w:tr>
        <w:trPr>
          <w:cantSplit/>
          <w:tblHeader w:val="false"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Hired candidate becomes a new starter (TH-DEV-06, section 4)</w:t>
            </w:r>
          </w:p>
        </w:tc>
      </w:tr>
      <w:tr>
        <w:trPr>
          <w:cantSplit/>
          <w:tblHeader w:val="false"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Worker is marked cleared to work only when required onboarding steps are complete</w:t>
            </w:r>
          </w:p>
        </w:tc>
      </w:tr>
      <w:tr>
        <w:trPr>
          <w:cantSplit/>
          <w:tblHeader w:val="false"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starter receives required training assignments</w:t>
            </w:r>
          </w:p>
        </w:tc>
      </w:tr>
      <w:tr>
        <w:trPr>
          <w:cantSplit/>
          <w:tblHeader w:val="false"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Expired mandatory training can be flagged when scheduling</w:t>
            </w:r>
          </w:p>
        </w:tc>
      </w:tr>
      <w:tr>
        <w:trPr>
          <w:cantSplit/>
          <w:tblHeader w:val="false"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 and attendance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Planned shifts are compared with time worked</w:t>
            </w:r>
          </w:p>
        </w:tc>
      </w:tr>
      <w:tr>
        <w:trPr>
          <w:cantSplit/>
          <w:tblHeader w:val="false"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 and attendance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Payroll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approved hours and leave enter a pay run</w:t>
            </w:r>
          </w:p>
        </w:tc>
      </w:tr>
      <w:tr>
        <w:trPr>
          <w:cantSplit/>
          <w:tblHeader w:val="false"/>
        </w:trPr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Payroll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Worker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Finalised payslip becomes visible to the worker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3. Architecture principles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2"/>
        <w:gridCol w:w="7309"/>
        <w:gridCol w:w="1155"/>
      </w:tblGrid>
      <w:tr>
        <w:trPr>
          <w:cantSplit/>
          <w:tblHeader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AR-REQ-01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codebase and one product for all clients; client differences handled through configuration, not custom code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AR-REQ-02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Modules have clear boundaries and can be switched on or off per tenant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AR-REQ-03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Shared platform services (tenancy, identity, permissions, people, sites, documents, audit, notifications) are built once and used by all modules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AR-REQ-04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server functions are available through a versioned API used by the web and mobile clients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AR-REQ-05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Design for many tenants from day one, including tenants with many sites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AR-REQ-06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Prefer managed cloud services over self-managed infrastructure where they meet security and residency needs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AR-REQ-07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as a modular monolith unless the team gives a recorded reason for separate services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SHOULD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4. Multi-tenancy requirements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04"/>
        <w:gridCol w:w="1202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MT-01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record holding client data carries a tenant identifier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MT-02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 context is set on the server from the authenticated session, never from a value the client can change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MT-03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 filtering is enforced in a central layer (for example database row-level security or a mandatory data-access layer), not left to each query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MT-04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Files, caches, search indexes, background jobs, logs, exports and reports are all tenant-scoped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MT-05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user who works for two client businesses has a separate membership per tenant and sees only the data of the tenant they are working in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MT-06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 creation, configuration and suspension are automated and audited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MT-07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tenant's data can be exported in full and deleted in full at the end of a contract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MT-08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tenant's heavy usage must not degrade service for others (rate limits, queue fairness)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MT-09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design allows a large client to be moved to dedicated resources later without rewriting the application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SHOULD</w:t>
            </w:r>
          </w:p>
        </w:tc>
      </w:tr>
    </w:tbl>
    <w:p/>
    <w:p>
      <w:pPr>
        <w:keepNext/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Tenancy model options (developers to recommend one in TH-DEV-05)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6"/>
        <w:gridCol w:w="1223"/>
        <w:gridCol w:w="1430"/>
        <w:gridCol w:w="4177"/>
      </w:tblGrid>
      <w:tr>
        <w:trPr>
          <w:cantSplit/>
          <w:tblHeader/>
        </w:trP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Isolation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Operational effort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to assess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Shared database, shared schema, row-level security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Logical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Lowest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Strength of central enforcement, risk of a missed filter, noisy neighbours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Shared database, schema per tenant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Stronger logical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Migrations across many schemas, connection management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 per tenant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Strongest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Highest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 per tenant, provisioning, cross-tenant platform reporting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5. Identity and access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04"/>
        <w:gridCol w:w="1202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IA-01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Authentication meets TH-DEV-07, section 3 (multi-factor authentication for privileged roles)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IA-02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Authorisation follows the role, scope and tenant model in TH-DEV-03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IA-03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Candidates register with a separate, lighter account type that cannot reach employee functions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IA-04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Workers without a work email can sign in (for example by mobile number or personal email)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IA-05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sign-on for client administrators (Google, Microsoft) is supported by the design, even if built later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IA-06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Permissions are cached safely and invalidated immediately when roles change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6. Documents and files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604"/>
        <w:gridCol w:w="1102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DOC-01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Files stored in encrypted object storage, separated by tenant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DOC-02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upload is malware-scanned before anyone else can open it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DOC-03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type and size limits are enforced on the server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DOC-04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Files are served only through short-lived, permission-checked links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DOC-05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view and download of identity, right-to-work and payroll documents is audited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DOC-06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Documents carry a type, owner, expiry date (where relevant) and retention rule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7. Audit history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604"/>
        <w:gridCol w:w="1102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AUD-01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Record who did what, to which record, when, from where, and the before and after values for sensitive fields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AUD-02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 records cannot be edited or deleted by any application user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AUD-03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 history is tenant-scoped and searchable by authorised client administrators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AUD-04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Macrovision support access is recorded and visible to the client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8. Notifications and background processing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604"/>
        <w:gridCol w:w="1102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NT-01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central notification service supports email, SMS, push and in-app channels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NT-02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Users can manage non-essential notification preferences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NT-03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Notifications never include sensitive data such as pay amounts or document contents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JOB-01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Scheduled jobs (reminders, expiry checks, leave accruals, pay runs, reports) run per tenant, can be retried safely and are monitored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9. Payroll engine readiness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Payroll rules are not yet specified. The architecture must still be ready for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604"/>
        <w:gridCol w:w="1102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PAY-01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 calculations are deterministic: the same inputs and rules always give the same result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PAY-02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 rules are versioned by effective date and tax year, so past pay runs can be reproduced exactly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PAY-03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Finalised pay runs are locked; corrections are made through recorded adjustments or reversals, never by editing history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PAY-04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Monetary values use exact decimal types, never floating point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PAY-05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design allows statutory submissions to HMRC to be added later. HMRC publishes payroll technical specifications and test data for developers each tax year; requirements for recognition must be confirmed with HMRC and the payroll specialist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PAY-06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Payroll data and payslips are encrypted and access-restricted as the highest sensitivity tier (TH-DEV-06)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10. Reporting, observability and recovery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7528"/>
        <w:gridCol w:w="1190"/>
      </w:tblGrid>
      <w:tr>
        <w:trPr>
          <w:cantSplit/>
          <w:tblHeader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  <w:tblHeader w:val="false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REP-01</w:t>
            </w:r>
          </w:p>
        </w:tc>
        <w:tc>
          <w:tcPr>
            <w:tcW w:type="dxa" w:w="7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Reporting respects the same tenant and scope rules as the application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REP-02</w:t>
            </w:r>
          </w:p>
        </w:tc>
        <w:tc>
          <w:tcPr>
            <w:tcW w:type="dxa" w:w="7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Heavy reports do not slow down day-to-day use (for example by using a read replica or reporting store)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OBS-01</w:t>
            </w:r>
          </w:p>
        </w:tc>
        <w:tc>
          <w:tcPr>
            <w:tcW w:type="dxa" w:w="7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Centralised logging, metrics, tracing and alerting, with tenant identifier on every log line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OBS-02</w:t>
            </w:r>
          </w:p>
        </w:tc>
        <w:tc>
          <w:tcPr>
            <w:tcW w:type="dxa" w:w="7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Logs never contain passwords, tokens, bank details, identity document numbers or pay amounts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DR-01</w:t>
            </w:r>
          </w:p>
        </w:tc>
        <w:tc>
          <w:tcPr>
            <w:tcW w:type="dxa" w:w="7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Automated, encrypted backups with regular restore tests; targets in TH-DEV-08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DR-02</w:t>
            </w:r>
          </w:p>
        </w:tc>
        <w:tc>
          <w:tcPr>
            <w:tcW w:type="dxa" w:w="7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infrastructure defined as code so environments can be rebuilt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</w:t>
            </w:r>
          </w:p>
        </w:tc>
      </w:tr>
    </w:tbl>
    <w:p/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11. Hosting and data residency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UK is the launch country. Hosting provider and region are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</w:t>
      </w:r>
      <w:r>
        <w:rPr>
          <w:rFonts w:ascii="Arial" w:cs="Arial" w:eastAsia="Arial" w:hAnsi="Arial"/>
          <w:sz w:val="21"/>
          <w:szCs w:val="21"/>
        </w:rPr>
        <w:t xml:space="preserve"> and part of the developer proposal. The proposal must state where all personal data, backups and logs are stored, and list every third-party service that receives personal data.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12. Client applications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client approach (responsive web, installable web app, or native mobile apps)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</w:t>
      </w:r>
      <w:r>
        <w:rPr>
          <w:rFonts w:ascii="Arial" w:cs="Arial" w:eastAsia="Arial" w:hAnsi="Arial"/>
          <w:sz w:val="21"/>
          <w:szCs w:val="21"/>
        </w:rPr>
        <w:t xml:space="preserve"> and part of the developer proposal. Whatever is chosen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well on mid-range and older phones used by shift workers;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support push notifications for shift changes;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handle poor connectivity in kitchens and back-of-house areas, including for clocking in (exact offline behaviour to be agreed);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meet the accessibility level in TH-DEV-08.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B5C"/>
          <w:sz w:val="28"/>
          <w:szCs w:val="28"/>
        </w:rPr>
        <w:t xml:space="preserve">13. Deliverables required from the development team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8"/>
        <w:gridCol w:w="2898"/>
      </w:tblGrid>
      <w:tr>
        <w:trPr>
          <w:cantSplit/>
          <w:tblHeader/>
        </w:trPr>
        <w:tc>
          <w:tcPr>
            <w:tcW w:type="dxa" w:w="7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rPr>
          <w:cantSplit/>
          <w:tblHeader w:val="false"/>
        </w:trPr>
        <w:tc>
          <w:tcPr>
            <w:tcW w:type="dxa" w:w="7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 TH-DEV-05 proposal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0</w:t>
            </w:r>
          </w:p>
        </w:tc>
      </w:tr>
      <w:tr>
        <w:trPr>
          <w:cantSplit/>
          <w:tblHeader w:val="false"/>
        </w:trPr>
        <w:tc>
          <w:tcPr>
            <w:tcW w:type="dxa" w:w="7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Solution architecture document with C4 context and container diagrams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0</w:t>
            </w:r>
          </w:p>
        </w:tc>
      </w:tr>
      <w:tr>
        <w:trPr>
          <w:cantSplit/>
          <w:tblHeader w:val="false"/>
        </w:trPr>
        <w:tc>
          <w:tcPr>
            <w:tcW w:type="dxa" w:w="7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ADRs for tenancy model, stack, hosting, identity, client approach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0</w:t>
            </w:r>
          </w:p>
        </w:tc>
      </w:tr>
      <w:tr>
        <w:trPr>
          <w:cantSplit/>
          <w:tblHeader w:val="false"/>
        </w:trPr>
        <w:tc>
          <w:tcPr>
            <w:tcW w:type="dxa" w:w="7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Threat model for the shared platform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0</w:t>
            </w:r>
          </w:p>
        </w:tc>
      </w:tr>
      <w:tr>
        <w:trPr>
          <w:cantSplit/>
          <w:tblHeader w:val="false"/>
        </w:trPr>
        <w:tc>
          <w:tcPr>
            <w:tcW w:type="dxa" w:w="7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conventions (versioning, errors, pagination)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 first module build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Macrovision Digital Solution · Draft 0.1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TeamHappi – Developer Pack · Architecture and Multi-Tenancy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879fa6f019bec8a9bba163032287934acbe2d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TeamHappi – Architecture and Multi-Tenancy Requirements</dc:title>
  <dc:creator>Macrovision Digital Solution</dc:creator>
  <cp:lastModifiedBy>Un-named</cp:lastModifiedBy>
  <cp:revision>1</cp:revision>
  <dcterms:created xsi:type="dcterms:W3CDTF">2026-10-06T14:37:51.609Z</dcterms:created>
  <dcterms:modified xsi:type="dcterms:W3CDTF">2026-10-06T14:37:51.609Z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