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 Unicode MS" w:hAnsi="Arial Unicode MS" w:eastAsia="Arial Unicode MS"/>
          <w:b/>
          <w:color w:val="2E74B5"/>
          <w:sz w:val="20"/>
        </w:rPr>
        <w:t>客户服务制度</w:t>
      </w:r>
    </w:p>
    <w:p>
      <w:pPr>
        <w:spacing w:after="100"/>
      </w:pPr>
      <w:r>
        <w:rPr>
          <w:rFonts w:ascii="Arial Unicode MS" w:hAnsi="Arial Unicode MS" w:eastAsia="Arial Unicode MS"/>
          <w:b/>
          <w:color w:val="0B2545"/>
          <w:sz w:val="50"/>
        </w:rPr>
        <w:t>退换货与退款处理规范</w:t>
      </w:r>
    </w:p>
    <w:p>
      <w:pPr>
        <w:spacing w:after="360"/>
      </w:pPr>
      <w:r>
        <w:rPr>
          <w:rFonts w:ascii="Arial Unicode MS" w:hAnsi="Arial Unicode MS" w:eastAsia="Arial Unicode MS"/>
          <w:b w:val="0"/>
          <w:color w:val="607D8B"/>
          <w:sz w:val="21"/>
        </w:rPr>
        <w:t>版本 v1.4｜生效日期：2026-07-15｜负责人：客户体验部</w:t>
      </w:r>
    </w:p>
    <w:p>
      <w:pPr>
        <w:pStyle w:val="Heading1"/>
      </w:pPr>
      <w:r>
        <w:t>1. 适用范围</w:t>
      </w:r>
    </w:p>
    <w:p>
      <w:r>
        <w:t>本制度适用于星河家居自营店铺的普通成品。定制商品、已安装商品和特价清仓商品按第四节例外规则处理。</w:t>
      </w:r>
    </w:p>
    <w:p>
      <w:pPr>
        <w:pStyle w:val="Heading1"/>
      </w:pPr>
      <w:r>
        <w:t>2. 普通商品退货</w:t>
      </w:r>
    </w:p>
    <w:p>
      <w:r>
        <w:t>商品签收后 7 天内，保持未拆封、配件齐全且不影响二次销售的，可以申请无理由退货。因质量问题产生的退货运费由商家承担。</w:t>
      </w:r>
    </w:p>
    <w:p>
      <w:pPr>
        <w:pStyle w:val="Heading2"/>
      </w:pPr>
      <w:r>
        <w:t>2.1 客服处理步骤</w:t>
      </w:r>
    </w:p>
    <w:p>
      <w:pPr>
        <w:pStyle w:val="ListNumber"/>
        <w:spacing w:after="80" w:line="300" w:lineRule="auto"/>
        <w:ind w:left="540" w:hanging="271"/>
      </w:pPr>
      <w:r>
        <w:t>核对订单号、签收日期和商品类型。</w:t>
      </w:r>
    </w:p>
    <w:p>
      <w:pPr>
        <w:pStyle w:val="ListNumber"/>
        <w:spacing w:after="80" w:line="300" w:lineRule="auto"/>
        <w:ind w:left="540" w:hanging="271"/>
      </w:pPr>
      <w:r>
        <w:t>确认包装、配件和安装状态，并记录图片证据。</w:t>
      </w:r>
    </w:p>
    <w:p>
      <w:pPr>
        <w:pStyle w:val="ListNumber"/>
        <w:spacing w:after="80" w:line="300" w:lineRule="auto"/>
        <w:ind w:left="540" w:hanging="271"/>
      </w:pPr>
      <w:r>
        <w:t>符合条件时创建退货单；信息不足时标记“待补充”，不得自行承诺退款。</w:t>
      </w:r>
    </w:p>
    <w:p>
      <w:r>
        <w:br w:type="page"/>
      </w:r>
    </w:p>
    <w:p>
      <w:pPr>
        <w:pStyle w:val="Heading1"/>
      </w:pPr>
      <w:r>
        <w:t>3. 退款到账时效</w:t>
      </w:r>
    </w:p>
    <w:p>
      <w:r>
        <w:t>仓库验收通过后，客服按原支付方式发起退款。不同渠道的到账时效如下。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5360"/>
      </w:tblGrid>
      <w:t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B2545"/>
                <w:sz w:val="20"/>
              </w:rPr>
              <w:t>支付方式</w:t>
            </w:r>
          </w:p>
        </w:tc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B2545"/>
                <w:sz w:val="20"/>
              </w:rPr>
              <w:t>预计到账时间</w:t>
            </w:r>
          </w:p>
        </w:tc>
        <w:tc>
          <w:tcPr>
            <w:tcW w:type="dxa" w:w="5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B2545"/>
                <w:sz w:val="20"/>
              </w:rPr>
              <w:t>需要人工确认的情况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263238"/>
                <w:sz w:val="20"/>
              </w:rPr>
              <w:t>原路退回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263238"/>
                <w:sz w:val="20"/>
              </w:rPr>
              <w:t>1～3 个工作日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263238"/>
                <w:sz w:val="20"/>
              </w:rPr>
              <w:t>支付渠道返回失败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263238"/>
                <w:sz w:val="20"/>
              </w:rPr>
              <w:t>对公转账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263238"/>
                <w:sz w:val="20"/>
              </w:rPr>
              <w:t>5 个工作日内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263238"/>
                <w:sz w:val="20"/>
              </w:rPr>
              <w:t>收款账户与订单主体不一致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263238"/>
                <w:sz w:val="20"/>
              </w:rPr>
              <w:t>礼品卡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263238"/>
                <w:sz w:val="20"/>
              </w:rPr>
              <w:t>即时退回余额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color w:val="263238"/>
                <w:sz w:val="20"/>
              </w:rPr>
              <w:t>礼品卡已过期或被冻结</w:t>
            </w:r>
          </w:p>
        </w:tc>
      </w:tr>
    </w:tbl>
    <w:p>
      <w:pPr>
        <w:pStyle w:val="Heading1"/>
      </w:pPr>
      <w:r>
        <w:t>4. 例外规则</w:t>
      </w:r>
    </w:p>
    <w:p>
      <w:r>
        <w:t>定制商品非质量问题不支持无理由退货；已经安装且影响二次销售的商品，需要主管审核。任何例外承诺都必须写入工单。</w:t>
      </w:r>
    </w:p>
    <w:p>
      <w:pPr>
        <w:pStyle w:val="Heading1"/>
      </w:pPr>
      <w:r>
        <w:t>5. 版本说明</w:t>
      </w:r>
    </w:p>
    <w:p>
      <w:r>
        <w:t>v1.4 将对公转账到账时效由 3 个工作日调整为 5 个工作日。旧版本 v1.3 自 2026-07-15 起停用。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color w:val="607D8B"/>
        <w:sz w:val="18"/>
      </w:rPr>
      <w:t>内部制度｜版本 v1.4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 w:val="0"/>
        <w:color w:val="607D8B"/>
        <w:sz w:val="18"/>
      </w:rPr>
      <w:t>星河家居｜客户服务处理制度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退换货与退款处理规范</dc:title>
  <dc:subject>RAG 文档解析教学样例</dc:subject>
  <dc:creator>星河家居客户体验部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