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000"/>
        <w:gridCol w:w="2360"/>
        <w:tblGridChange w:id="0">
          <w:tblGrid>
            <w:gridCol w:w="3000"/>
            <w:gridCol w:w="4000"/>
            <w:gridCol w:w="2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Medicine/Science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University Program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Est. Med School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rtl w:val="0"/>
              </w:rPr>
              <w:t xml:space="preserve">Health Sciences (</w:t>
            </w:r>
            <w:r>
              <w:rPr>
                <w:b w:val="1"/>
                <w:bCs w:val="1"/>
                <w:rtl w:val="0"/>
              </w:rPr>
              <w:t xml:space="preserve">Waterloo)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Flexible program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Commute is hard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Good for medicine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Four Potential majors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After first year, you get 10 free electives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u w:val="none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~10-15% reach MD (est.)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50% to health professional programs (2022 UW data)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rtl w:val="0"/>
              </w:rPr>
              <w:t xml:space="preserve">Health Sciences(</w:t>
            </w:r>
            <w:r>
              <w:rPr>
                <w:b w:val="1"/>
                <w:bCs w:val="1"/>
                <w:rtl w:val="0"/>
              </w:rPr>
              <w:t xml:space="preserve">Ottawa)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available (~16 months work experience)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80% of med school prerequisites built into curriculum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Strong pathways: medicine, dentistry, pharmacy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Clinical connections to Ottawa hospitals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Bilingual (English/French)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~15-20% reach MD (est.)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Bilingual advantage: French &amp; English med school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Biomedical Sciences (</w:t>
            </w:r>
            <w:r>
              <w:rPr>
                <w:b w:val="1"/>
                <w:bCs w:val="1"/>
                <w:rtl w:val="0"/>
              </w:rPr>
              <w:t xml:space="preserve">TMU</w:t>
            </w:r>
            <w:r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optional: 5-year program with 20 months experience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Downtown Toronto location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Molecular/cellular basis of disease focus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Optional Biomedical Chemistry concentration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Pathway to grad school or direct workforce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~5-10% reach MD (est.)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Not a traditional pre-med feeder 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Life Sciences and Biochemistry(</w:t>
            </w:r>
            <w:r>
              <w:rPr>
                <w:b w:val="1"/>
                <w:bCs w:val="1"/>
                <w:rtl w:val="0"/>
              </w:rPr>
              <w:t xml:space="preserve">Queens</w:t>
            </w:r>
            <w:r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Internship available: QUIP (12-16 months after 3rd year)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Strong pre-med reputation; 90% employed within 6 months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Focus on cancer, molecular genetics, and biochemistry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Beautiful Kingston campus; tight-knit student community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Well-regarded for medical school 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~15-25% reach MD (est.)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Strong pre-med culture; QUIP internship aids applications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  <w:rtl w:val="0"/>
              </w:rPr>
              <w:t xml:space="preserve">Medical Sciences (</w:t>
            </w:r>
            <w:r>
              <w:rPr>
                <w:b w:val="1"/>
                <w:bCs w:val="1"/>
                <w:highlight w:val="yellow"/>
                <w:rtl w:val="0"/>
              </w:rPr>
              <w:t xml:space="preserve">Western)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Difficult course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Very little electives in first and second year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~20-30% reach MD (est.)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Designed as pre-med; grade competition is a real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Biomedical Sciences(</w:t>
            </w:r>
            <w:r>
              <w:rPr>
                <w:b w:val="1"/>
                <w:bCs w:val="1"/>
                <w:rtl w:val="0"/>
              </w:rPr>
              <w:t xml:space="preserve">York)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Research and lab experience begins in first year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Can add minor in Chemistry, Psychology, or Kinesiology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Good preparation for pre-med and biomedical research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No formal co-op; less grade competition than UofT or Queens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~5-10% reach MD (est.)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Lower GPA competition; less focused pre-med community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  <w:rtl w:val="0"/>
              </w:rPr>
              <w:t xml:space="preserve">Life sciences (</w:t>
            </w:r>
            <w:r>
              <w:rPr>
                <w:b w:val="1"/>
                <w:bCs w:val="1"/>
                <w:highlight w:val="yellow"/>
                <w:rtl w:val="0"/>
              </w:rPr>
              <w:t xml:space="preserve">Toronto</w:t>
            </w:r>
            <w:r>
              <w:rPr>
                <w:highlight w:val="yellow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Co-op/internship options available (UTSC, UTM programs)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World-class research; access to top faculty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Excellent MCAT prep; strong medical school pathway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Very competitive; difficult grading curve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~8-15% reach MD (est.)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Large class; challenging grade curve can lower GPA</w:t>
            </w:r>
          </w:p>
        </w:tc>
      </w:tr>
      <w:tr w:rsidR="00000000" w:rsidDel="00000000" w:rsidP="00000000" w:rsidRDefault="00000000" w:rsidTr="00000000"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Life Sciences (</w:t>
            </w:r>
            <w:r>
              <w:rPr>
                <w:b w:val="1"/>
                <w:bCs w:val="1"/>
                <w:rtl w:val="0"/>
              </w:rPr>
              <w:t xml:space="preserve">McMaster</w:t>
            </w:r>
            <w:r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Gateway program (~1,000/year, low-90s avg); 36 Level II specializations chosen after Year 1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available (competitive/limited; two 8-month terms, ~12–16 months experience)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DeGroote MD: GPA + CARS + CASPer only (no full MCAT; no specific sci prereqs required)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Access to Hamilton Health Sciences hospital network for research and volunteering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Flexible upper-year structure; small Level IV seminars (~25 students)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~10-20% reach MD (est.)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Home advantage for DeGroote; no official outcome stats published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000"/>
        <w:gridCol w:w="2360"/>
        <w:tblGridChange w:id="0">
          <w:tblGrid>
            <w:gridCol w:w="3000"/>
            <w:gridCol w:w="4000"/>
            <w:gridCol w:w="2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Engineering/Design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University Program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Eng. Rank (Canada)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  <w:rtl w:val="0"/>
              </w:rPr>
              <w:t xml:space="preserve">Architectural Engineering(</w:t>
            </w:r>
            <w:r>
              <w:rPr>
                <w:b w:val="1"/>
                <w:bCs w:val="1"/>
                <w:highlight w:val="yellow"/>
                <w:rtl w:val="0"/>
              </w:rPr>
              <w:t xml:space="preserve">Waterloo</w:t>
            </w:r>
            <w:r>
              <w:rPr>
                <w:highlight w:val="yellow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Co-op Program is good because of long work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#3 Engineering in Canada (Maclean’s 2024)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QS: #47 globally in Engineering &amp; Tech (#4 Canada)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Architectural Studies (</w:t>
            </w:r>
            <w:r>
              <w:rPr>
                <w:b w:val="1"/>
                <w:bCs w:val="1"/>
                <w:rtl w:val="0"/>
              </w:rPr>
              <w:t xml:space="preserve">TMU)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at top design firms in Toronto and beyond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Only pre-professional architecture program in Toronto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CACB-recognized; direct entry pathway to MArch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Concentrations: Architecture, Building Science, or Project Mgmt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International exchanges in Europe and India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~#14 Engineering in Canada (Maclean’s 2024)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Architecture-focused; not traditional engineering rank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Environmental Design (</w:t>
            </w:r>
            <w:r>
              <w:rPr>
                <w:b w:val="1"/>
                <w:bCs w:val="1"/>
                <w:rtl w:val="0"/>
              </w:rPr>
              <w:t xml:space="preserve">OCAD)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Interior, spatial, and experiential design focus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Sustainability and built environment emphasis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Year 4 thesis showcased at GradEx (40,000+ visitors)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71% of graduates employed in Interior Design or related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Not ranked in engineering (art &amp; design school)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#1 Canadian art &amp; design university (Maclean’s)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  <w:rtl w:val="0"/>
              </w:rPr>
              <w:t xml:space="preserve">Electrical Engineering (</w:t>
            </w:r>
            <w:r>
              <w:rPr>
                <w:b w:val="1"/>
                <w:bCs w:val="1"/>
                <w:highlight w:val="yellow"/>
                <w:rtl w:val="0"/>
              </w:rPr>
              <w:t xml:space="preserve">Western</w:t>
            </w:r>
            <w:r>
              <w:rPr>
                <w:highlight w:val="yellow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available; long-term option up to 16 months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Average co-op salary ~$50,000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98% of graduates find employment within 2 years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Direct P.Eng pathway; strong employer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~#8 Engineering in Canada (QS 2025)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Maclean’s: ~#14; QS: 151-200 globally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Civil Engineering(</w:t>
            </w:r>
            <w:r>
              <w:rPr>
                <w:b w:val="1"/>
                <w:bCs w:val="1"/>
                <w:rtl w:val="0"/>
              </w:rPr>
              <w:t xml:space="preserve">Queens</w:t>
            </w:r>
            <w:r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Optional 12-16 month paid internship (QUIP) after 3rd year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Choose focus: Infrastructure OR Environmental engineering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Direct P.Eng pathway; close faculty mentorship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National and select international placements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#7 Engineering in Canada (Maclean’s 2024)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QS: 151-200 globally in Engineering &amp; Tech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Civil Engineering (</w:t>
            </w:r>
            <w:r>
              <w:rPr>
                <w:b w:val="1"/>
                <w:bCs w:val="1"/>
                <w:rtl w:val="0"/>
              </w:rPr>
              <w:t xml:space="preserve">Ottawa)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available; starts after 2nd year, alternating terms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Top employers: Stantec, WSP, PCL Construction, Pomerleau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Bilingual; good access to government engineering roles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Direct P.Eng pathway; world-class labs and facilities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~#10 Engineering in Canada (QS 2025)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Maclean’s: ~#19; QS: 201-300 globally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Computer Science UI/UX (</w:t>
            </w:r>
            <w:r>
              <w:rPr>
                <w:b w:val="1"/>
                <w:bCs w:val="1"/>
                <w:rtl w:val="0"/>
              </w:rPr>
              <w:t xml:space="preserve">Ottawa</w:t>
            </w:r>
            <w:r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General CS; UX focus through flexible elective choices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available through Faculty of Engineering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Ottawa tech sector: government, startups, multinationals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No dedicated undergrad UX stream; compare Carleton’s 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#8 CS in Canada (Maclean’s 2024)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No dedicated UX stream; general CS with electives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widowControl w:val="0"/>
              <w:spacing w:after="0" w:before="0" w:line="264" w:lineRule="auto"/>
              <w:rPr>
                <w:color w:val="4a4a4a"/>
                <w:sz w:val="21"/>
                <w:szCs w:val="21"/>
              </w:rPr>
            </w:pPr>
            <w:bookmarkStart w:colFirst="0" w:colLast="0" w:name="_et4qik3fyv1l" w:id="0"/>
            <w:bookmarkEnd w:id="0"/>
            <w:r>
              <w:rPr>
                <w:color w:val="4a4a4a"/>
                <w:sz w:val="21"/>
                <w:szCs w:val="21"/>
                <w:rtl w:val="0"/>
              </w:rPr>
              <w:t xml:space="preserve">Bachelor of Computer Science Honours, Stream: User Experience and User Interfaces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 (</w:t>
            </w:r>
            <w:r>
              <w:rPr>
                <w:b w:val="1"/>
                <w:bCs w:val="1"/>
                <w:rtl w:val="0"/>
              </w:rPr>
              <w:t xml:space="preserve">Carleton</w:t>
            </w:r>
            <w:r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Co-op with 4-16 month work terms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Dedicated UX/UI Honours stream (unique in Ontario)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Blends CS fundamentals with HCI and interface design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Ottawa tech hub: federal government + major tech firms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Honours stream requires maintaining high CGPA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#10-12 CS in Canada (Maclean’s 2024)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Best dedicated UX/UI Honours stream in Ontario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>
              <w:rPr>
                <w:rtl w:val="0"/>
              </w:rPr>
              <w:t xml:space="preserve">Experimental Animation(</w:t>
            </w:r>
            <w:r>
              <w:rPr>
                <w:b w:val="1"/>
                <w:bCs w:val="1"/>
                <w:rtl w:val="0"/>
              </w:rPr>
              <w:t xml:space="preserve">OCAD)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BFA: 2D, 3D, stop-motion, digital compositing, and VR/AR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Alumni at ILM, Guru, Jam-Filled, Moment Factory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Festival connections; graduates win international awards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  <w:rtl w:val="0"/>
              </w:rPr>
              <w:t xml:space="preserve">GradEx showcase; flexibility with art/design electives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