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FA0CB2" w:rsidRPr="00FA0CB2" w:rsidRDefault="00FA0CB2" w:rsidP="00FA0CB2">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FA0CB2">
        <w:rPr>
          <w:rFonts w:ascii="Times New Roman" w:eastAsia="Times New Roman" w:hAnsi="Times New Roman" w:cs="Times New Roman"/>
          <w:b/>
          <w:bCs/>
          <w:sz w:val="24"/>
          <w:szCs w:val="24"/>
        </w:rPr>
        <w:t>Managing Dual Relationships in Social Work: An Ethics Report</w:t>
      </w:r>
    </w:p>
    <w:p w:rsidR="00FA0CB2" w:rsidRDefault="00FA0CB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bookmarkStart w:id="0" w:name="_GoBack"/>
      <w:bookmarkEnd w:id="0"/>
    </w:p>
    <w:p w:rsidR="00FA0CB2" w:rsidRPr="00FA0CB2" w:rsidRDefault="00FA0CB2" w:rsidP="00FA0CB2">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FA0CB2">
        <w:rPr>
          <w:rFonts w:ascii="Times New Roman" w:eastAsia="Times New Roman" w:hAnsi="Times New Roman" w:cs="Times New Roman"/>
          <w:b/>
          <w:bCs/>
          <w:sz w:val="24"/>
          <w:szCs w:val="24"/>
        </w:rPr>
        <w:lastRenderedPageBreak/>
        <w:t>Introduction</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t xml:space="preserve">Dual relationships occur when a social worker has multiple roles with a client beyond the professional relationship—whether social, familial, financial, or otherwise. While some dual relationships are unavoidable, particularly in rural or small communities, they present significant ethical dilemmas that require careful navigation. This report explores the complexities of dual relationships in social work using a practice-based scenario, referencing the </w:t>
      </w:r>
      <w:r w:rsidRPr="00FA0CB2">
        <w:rPr>
          <w:rFonts w:ascii="Times New Roman" w:eastAsia="Times New Roman" w:hAnsi="Times New Roman" w:cs="Times New Roman"/>
          <w:b/>
          <w:bCs/>
          <w:sz w:val="24"/>
          <w:szCs w:val="24"/>
        </w:rPr>
        <w:t>NASW Code of Ethics (2021)</w:t>
      </w:r>
      <w:r w:rsidRPr="00FA0CB2">
        <w:rPr>
          <w:rFonts w:ascii="Times New Roman" w:eastAsia="Times New Roman" w:hAnsi="Times New Roman" w:cs="Times New Roman"/>
          <w:sz w:val="24"/>
          <w:szCs w:val="24"/>
        </w:rPr>
        <w:t>, ethical decision-making models, and best-practice frameworks. It also offers strategies for managing these relationships while preserving professional integrity, client wellbeing, and trust in the profession.</w:t>
      </w:r>
    </w:p>
    <w:p w:rsidR="00FA0CB2" w:rsidRPr="00FA0CB2" w:rsidRDefault="00FA0CB2" w:rsidP="00FA0CB2">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FA0CB2">
        <w:rPr>
          <w:rFonts w:ascii="Times New Roman" w:eastAsia="Times New Roman" w:hAnsi="Times New Roman" w:cs="Times New Roman"/>
          <w:b/>
          <w:bCs/>
          <w:sz w:val="24"/>
          <w:szCs w:val="24"/>
        </w:rPr>
        <w:t>Case Scenario</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t>Rita is a community social worker in a small regional town in Western Australia. She works primarily with families experiencing domestic violence and poverty. A new client, Leanne, was referred to Rita after experiencing family violence. During their second session, Rita realized that Leanne is the cousin of her long-time friend and is often present at social gatherings within the community.</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t>As the sessions progressed, Rita began receiving messages from her friend asking about Leanne’s situation. Although Rita did not disclose any details, she found herself avoiding social functions to prevent uncomfortable interactions and possible confidentiality breaches. Rita now feels emotionally conflicted and is unsure whether continuing with Leanne as a client compromises professional ethics.</w:t>
      </w:r>
    </w:p>
    <w:p w:rsidR="00FA0CB2" w:rsidRPr="00FA0CB2" w:rsidRDefault="00FA0CB2" w:rsidP="00FA0CB2">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FA0CB2">
        <w:rPr>
          <w:rFonts w:ascii="Times New Roman" w:eastAsia="Times New Roman" w:hAnsi="Times New Roman" w:cs="Times New Roman"/>
          <w:b/>
          <w:bCs/>
          <w:sz w:val="24"/>
          <w:szCs w:val="24"/>
        </w:rPr>
        <w:t>Understanding Dual Relationships</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t xml:space="preserve">According to the </w:t>
      </w:r>
      <w:r w:rsidRPr="00FA0CB2">
        <w:rPr>
          <w:rFonts w:ascii="Times New Roman" w:eastAsia="Times New Roman" w:hAnsi="Times New Roman" w:cs="Times New Roman"/>
          <w:b/>
          <w:bCs/>
          <w:sz w:val="24"/>
          <w:szCs w:val="24"/>
        </w:rPr>
        <w:t>National Association of Social Workers (NASW, 2021)</w:t>
      </w:r>
      <w:r w:rsidRPr="00FA0CB2">
        <w:rPr>
          <w:rFonts w:ascii="Times New Roman" w:eastAsia="Times New Roman" w:hAnsi="Times New Roman" w:cs="Times New Roman"/>
          <w:sz w:val="24"/>
          <w:szCs w:val="24"/>
        </w:rPr>
        <w:t xml:space="preserve">, dual relationships are not inherently unethical but become problematic when they impair professional </w:t>
      </w:r>
      <w:r w:rsidRPr="00FA0CB2">
        <w:rPr>
          <w:rFonts w:ascii="Times New Roman" w:eastAsia="Times New Roman" w:hAnsi="Times New Roman" w:cs="Times New Roman"/>
          <w:sz w:val="24"/>
          <w:szCs w:val="24"/>
        </w:rPr>
        <w:lastRenderedPageBreak/>
        <w:t>judgment, increase the risk of harm to the client, or result in exploitation. In this case, Rita's role in a small community means encountering clients in non-professional settings is likely, yet the overlap between personal and professional circles raises questions about boundaries, confidentiality, and role conflict.</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t>Rural social work research confirms that practitioners in close-knit communities often manage dual roles out of necessity (Gonyea, Wright, &amp; Earl, 2014). What distinguishes ethical from unethical practice is the level of self-awareness, proactive boundary management, and client-focused decision-making.</w:t>
      </w:r>
    </w:p>
    <w:p w:rsidR="00FA0CB2" w:rsidRPr="00FA0CB2" w:rsidRDefault="00FA0CB2" w:rsidP="00FA0CB2">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FA0CB2">
        <w:rPr>
          <w:rFonts w:ascii="Times New Roman" w:eastAsia="Times New Roman" w:hAnsi="Times New Roman" w:cs="Times New Roman"/>
          <w:b/>
          <w:bCs/>
          <w:sz w:val="24"/>
          <w:szCs w:val="24"/>
        </w:rPr>
        <w:t>Relevant Ethical Principles</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t>Several key ethical principles are engaged in this case:</w:t>
      </w:r>
    </w:p>
    <w:p w:rsidR="00FA0CB2" w:rsidRPr="00FA0CB2" w:rsidRDefault="00FA0CB2" w:rsidP="00FA0CB2">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Confidentiality</w:t>
      </w:r>
      <w:r w:rsidRPr="00FA0CB2">
        <w:rPr>
          <w:rFonts w:ascii="Times New Roman" w:eastAsia="Times New Roman" w:hAnsi="Times New Roman" w:cs="Times New Roman"/>
          <w:sz w:val="24"/>
          <w:szCs w:val="24"/>
        </w:rPr>
        <w:t>: Social workers are ethically bound to protect client information. Sharing even general updates with third parties—such as Rita’s friend—would be a breach of confidentiality (Reamer, 2018).</w:t>
      </w:r>
    </w:p>
    <w:p w:rsidR="00FA0CB2" w:rsidRPr="00FA0CB2" w:rsidRDefault="00FA0CB2" w:rsidP="00FA0CB2">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Professional Boundaries</w:t>
      </w:r>
      <w:r w:rsidRPr="00FA0CB2">
        <w:rPr>
          <w:rFonts w:ascii="Times New Roman" w:eastAsia="Times New Roman" w:hAnsi="Times New Roman" w:cs="Times New Roman"/>
          <w:sz w:val="24"/>
          <w:szCs w:val="24"/>
        </w:rPr>
        <w:t xml:space="preserve">: The </w:t>
      </w:r>
      <w:r w:rsidRPr="00FA0CB2">
        <w:rPr>
          <w:rFonts w:ascii="Times New Roman" w:eastAsia="Times New Roman" w:hAnsi="Times New Roman" w:cs="Times New Roman"/>
          <w:b/>
          <w:bCs/>
          <w:sz w:val="24"/>
          <w:szCs w:val="24"/>
        </w:rPr>
        <w:t>AASW Code of Ethics (2020)</w:t>
      </w:r>
      <w:r w:rsidRPr="00FA0CB2">
        <w:rPr>
          <w:rFonts w:ascii="Times New Roman" w:eastAsia="Times New Roman" w:hAnsi="Times New Roman" w:cs="Times New Roman"/>
          <w:sz w:val="24"/>
          <w:szCs w:val="24"/>
        </w:rPr>
        <w:t xml:space="preserve"> emphasizes the importance of maintaining professional roles and avoiding relationships that could impair impartiality.</w:t>
      </w:r>
    </w:p>
    <w:p w:rsidR="00FA0CB2" w:rsidRPr="00FA0CB2" w:rsidRDefault="00FA0CB2" w:rsidP="00FA0CB2">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Self-Determination and Non-maleficence</w:t>
      </w:r>
      <w:r w:rsidRPr="00FA0CB2">
        <w:rPr>
          <w:rFonts w:ascii="Times New Roman" w:eastAsia="Times New Roman" w:hAnsi="Times New Roman" w:cs="Times New Roman"/>
          <w:sz w:val="24"/>
          <w:szCs w:val="24"/>
        </w:rPr>
        <w:t>: Social workers must ensure that dual roles do not interfere with a client’s autonomy or increase the risk of emotional harm.</w:t>
      </w:r>
    </w:p>
    <w:p w:rsidR="00FA0CB2" w:rsidRPr="00FA0CB2" w:rsidRDefault="00FA0CB2" w:rsidP="00FA0CB2">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Competence</w:t>
      </w:r>
      <w:r w:rsidRPr="00FA0CB2">
        <w:rPr>
          <w:rFonts w:ascii="Times New Roman" w:eastAsia="Times New Roman" w:hAnsi="Times New Roman" w:cs="Times New Roman"/>
          <w:sz w:val="24"/>
          <w:szCs w:val="24"/>
        </w:rPr>
        <w:t>: When the dual relationship begins to affect the practitioner’s emotional regulation, decision-making, or performance, as in Rita’s case, it becomes an ethical concern requiring supervision or case transfer.</w:t>
      </w:r>
    </w:p>
    <w:p w:rsidR="00FA0CB2" w:rsidRPr="00FA0CB2" w:rsidRDefault="00FA0CB2" w:rsidP="00FA0CB2">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FA0CB2">
        <w:rPr>
          <w:rFonts w:ascii="Times New Roman" w:eastAsia="Times New Roman" w:hAnsi="Times New Roman" w:cs="Times New Roman"/>
          <w:b/>
          <w:bCs/>
          <w:sz w:val="24"/>
          <w:szCs w:val="24"/>
        </w:rPr>
        <w:t>Ethical Decision-Making Models</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lastRenderedPageBreak/>
        <w:t xml:space="preserve">To address such dilemmas, social workers are encouraged to apply structured ethical decision-making frameworks. The </w:t>
      </w:r>
      <w:r w:rsidRPr="00FA0CB2">
        <w:rPr>
          <w:rFonts w:ascii="Times New Roman" w:eastAsia="Times New Roman" w:hAnsi="Times New Roman" w:cs="Times New Roman"/>
          <w:b/>
          <w:bCs/>
          <w:sz w:val="24"/>
          <w:szCs w:val="24"/>
        </w:rPr>
        <w:t>Loewenberg and Dolgoff model</w:t>
      </w:r>
      <w:r w:rsidRPr="00FA0CB2">
        <w:rPr>
          <w:rFonts w:ascii="Times New Roman" w:eastAsia="Times New Roman" w:hAnsi="Times New Roman" w:cs="Times New Roman"/>
          <w:sz w:val="24"/>
          <w:szCs w:val="24"/>
        </w:rPr>
        <w:t xml:space="preserve"> includes:</w:t>
      </w:r>
    </w:p>
    <w:p w:rsidR="00FA0CB2" w:rsidRPr="00FA0CB2" w:rsidRDefault="00FA0CB2" w:rsidP="00FA0CB2">
      <w:pPr>
        <w:pStyle w:val="ListParagraph"/>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Identify the problem</w:t>
      </w:r>
      <w:r w:rsidRPr="00FA0CB2">
        <w:rPr>
          <w:rFonts w:ascii="Times New Roman" w:eastAsia="Times New Roman" w:hAnsi="Times New Roman" w:cs="Times New Roman"/>
          <w:sz w:val="24"/>
          <w:szCs w:val="24"/>
        </w:rPr>
        <w:br/>
        <w:t>Rita has overlapping social and professional roles with Leanne and her family.</w:t>
      </w:r>
    </w:p>
    <w:p w:rsidR="00FA0CB2" w:rsidRPr="00FA0CB2" w:rsidRDefault="00FA0CB2" w:rsidP="00FA0CB2">
      <w:pPr>
        <w:pStyle w:val="ListParagraph"/>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Determine who will be affected</w:t>
      </w:r>
      <w:r w:rsidRPr="00FA0CB2">
        <w:rPr>
          <w:rFonts w:ascii="Times New Roman" w:eastAsia="Times New Roman" w:hAnsi="Times New Roman" w:cs="Times New Roman"/>
          <w:sz w:val="24"/>
          <w:szCs w:val="24"/>
        </w:rPr>
        <w:br/>
        <w:t>Leanne, Rita, Rita’s friend, and the community's perception of confidentiality and trust.</w:t>
      </w:r>
    </w:p>
    <w:p w:rsidR="00FA0CB2" w:rsidRPr="00FA0CB2" w:rsidRDefault="00FA0CB2" w:rsidP="00FA0CB2">
      <w:pPr>
        <w:pStyle w:val="ListParagraph"/>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Consult ethical guidelines</w:t>
      </w:r>
      <w:r w:rsidRPr="00FA0CB2">
        <w:rPr>
          <w:rFonts w:ascii="Times New Roman" w:eastAsia="Times New Roman" w:hAnsi="Times New Roman" w:cs="Times New Roman"/>
          <w:sz w:val="24"/>
          <w:szCs w:val="24"/>
        </w:rPr>
        <w:br/>
        <w:t>NASW and AASW Codes of Ethics, agency policy, and supervision.</w:t>
      </w:r>
    </w:p>
    <w:p w:rsidR="00FA0CB2" w:rsidRPr="00FA0CB2" w:rsidRDefault="00FA0CB2" w:rsidP="00FA0CB2">
      <w:pPr>
        <w:pStyle w:val="ListParagraph"/>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Explore possible options</w:t>
      </w:r>
      <w:r w:rsidRPr="00FA0CB2">
        <w:rPr>
          <w:rFonts w:ascii="Times New Roman" w:eastAsia="Times New Roman" w:hAnsi="Times New Roman" w:cs="Times New Roman"/>
          <w:sz w:val="24"/>
          <w:szCs w:val="24"/>
        </w:rPr>
        <w:br/>
        <w:t>a) Continue with Leanne and reinforce boundaries</w:t>
      </w:r>
      <w:r w:rsidRPr="00FA0CB2">
        <w:rPr>
          <w:rFonts w:ascii="Times New Roman" w:eastAsia="Times New Roman" w:hAnsi="Times New Roman" w:cs="Times New Roman"/>
          <w:sz w:val="24"/>
          <w:szCs w:val="24"/>
        </w:rPr>
        <w:br/>
        <w:t>b) Transfer Leanne’s case</w:t>
      </w:r>
      <w:r w:rsidRPr="00FA0CB2">
        <w:rPr>
          <w:rFonts w:ascii="Times New Roman" w:eastAsia="Times New Roman" w:hAnsi="Times New Roman" w:cs="Times New Roman"/>
          <w:sz w:val="24"/>
          <w:szCs w:val="24"/>
        </w:rPr>
        <w:br/>
        <w:t>c) Involve a supervisor to mediate</w:t>
      </w:r>
    </w:p>
    <w:p w:rsidR="00FA0CB2" w:rsidRPr="00FA0CB2" w:rsidRDefault="00FA0CB2" w:rsidP="00FA0CB2">
      <w:pPr>
        <w:pStyle w:val="ListParagraph"/>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Consider consequences</w:t>
      </w:r>
      <w:r w:rsidRPr="00FA0CB2">
        <w:rPr>
          <w:rFonts w:ascii="Times New Roman" w:eastAsia="Times New Roman" w:hAnsi="Times New Roman" w:cs="Times New Roman"/>
          <w:sz w:val="24"/>
          <w:szCs w:val="24"/>
        </w:rPr>
        <w:br/>
        <w:t>Continued therapy could help Leanne, but Rita’s emotional discomfort could impact service quality.</w:t>
      </w:r>
    </w:p>
    <w:p w:rsidR="00FA0CB2" w:rsidRPr="00FA0CB2" w:rsidRDefault="00FA0CB2" w:rsidP="00FA0CB2">
      <w:pPr>
        <w:pStyle w:val="ListParagraph"/>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Make the decision and document</w:t>
      </w:r>
      <w:r w:rsidRPr="00FA0CB2">
        <w:rPr>
          <w:rFonts w:ascii="Times New Roman" w:eastAsia="Times New Roman" w:hAnsi="Times New Roman" w:cs="Times New Roman"/>
          <w:sz w:val="24"/>
          <w:szCs w:val="24"/>
        </w:rPr>
        <w:br/>
        <w:t>Transparency and thorough documentation of the decision-making process are essential.</w:t>
      </w:r>
    </w:p>
    <w:p w:rsidR="00FA0CB2" w:rsidRPr="00FA0CB2" w:rsidRDefault="00FA0CB2" w:rsidP="00FA0CB2">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FA0CB2">
        <w:rPr>
          <w:rFonts w:ascii="Times New Roman" w:eastAsia="Times New Roman" w:hAnsi="Times New Roman" w:cs="Times New Roman"/>
          <w:b/>
          <w:bCs/>
          <w:sz w:val="24"/>
          <w:szCs w:val="24"/>
        </w:rPr>
        <w:t>Best Practices for Managing Dual Relationships</w:t>
      </w:r>
    </w:p>
    <w:p w:rsid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t>To ethically manage dual relationships, social workers should consider the following:</w:t>
      </w:r>
    </w:p>
    <w:p w:rsidR="00FA0CB2" w:rsidRPr="00FA0CB2" w:rsidRDefault="00FA0CB2" w:rsidP="00FA0CB2">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Anticipate and plan for overlapping roles</w:t>
      </w:r>
      <w:r w:rsidRPr="00FA0CB2">
        <w:rPr>
          <w:rFonts w:ascii="Times New Roman" w:eastAsia="Times New Roman" w:hAnsi="Times New Roman" w:cs="Times New Roman"/>
          <w:sz w:val="24"/>
          <w:szCs w:val="24"/>
        </w:rPr>
        <w:t>, especially in rural or cultural communities.</w:t>
      </w:r>
    </w:p>
    <w:p w:rsidR="00FA0CB2" w:rsidRPr="00FA0CB2" w:rsidRDefault="00FA0CB2" w:rsidP="00FA0CB2">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Discuss potential dual relationships</w:t>
      </w:r>
      <w:r w:rsidRPr="00FA0CB2">
        <w:rPr>
          <w:rFonts w:ascii="Times New Roman" w:eastAsia="Times New Roman" w:hAnsi="Times New Roman" w:cs="Times New Roman"/>
          <w:sz w:val="24"/>
          <w:szCs w:val="24"/>
        </w:rPr>
        <w:t xml:space="preserve"> openly with the client and seek informed consent where appropriate.</w:t>
      </w:r>
    </w:p>
    <w:p w:rsidR="00FA0CB2" w:rsidRPr="00FA0CB2" w:rsidRDefault="00FA0CB2" w:rsidP="00FA0CB2">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lastRenderedPageBreak/>
        <w:t>Engage in supervision and reflective practice</w:t>
      </w:r>
      <w:r w:rsidRPr="00FA0CB2">
        <w:rPr>
          <w:rFonts w:ascii="Times New Roman" w:eastAsia="Times New Roman" w:hAnsi="Times New Roman" w:cs="Times New Roman"/>
          <w:sz w:val="24"/>
          <w:szCs w:val="24"/>
        </w:rPr>
        <w:t xml:space="preserve"> to explore personal feelings and professional limits (Zubrzycki &amp; McArthur, 2015).</w:t>
      </w:r>
    </w:p>
    <w:p w:rsidR="00FA0CB2" w:rsidRPr="00FA0CB2" w:rsidRDefault="00FA0CB2" w:rsidP="00FA0CB2">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FA0CB2">
        <w:rPr>
          <w:rFonts w:ascii="Times New Roman" w:eastAsia="Times New Roman" w:hAnsi="Times New Roman" w:cs="Times New Roman"/>
          <w:b/>
          <w:bCs/>
          <w:sz w:val="24"/>
          <w:szCs w:val="24"/>
        </w:rPr>
        <w:t>Establish clear boundaries and communicate them</w:t>
      </w:r>
      <w:r w:rsidRPr="00FA0CB2">
        <w:rPr>
          <w:rFonts w:ascii="Times New Roman" w:eastAsia="Times New Roman" w:hAnsi="Times New Roman" w:cs="Times New Roman"/>
          <w:sz w:val="24"/>
          <w:szCs w:val="24"/>
        </w:rPr>
        <w:t xml:space="preserve"> with clients and community members.</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t>In Rita’s case, the best course of action may be to discuss the issue with a supervisor and assess whether continued service provision is in the client’s best interest. If boundaries cannot be maintained, a respectful referral to another practitioner should be made.</w:t>
      </w:r>
    </w:p>
    <w:p w:rsidR="00FA0CB2" w:rsidRPr="00FA0CB2" w:rsidRDefault="00FA0CB2" w:rsidP="00FA0CB2">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FA0CB2">
        <w:rPr>
          <w:rFonts w:ascii="Times New Roman" w:eastAsia="Times New Roman" w:hAnsi="Times New Roman" w:cs="Times New Roman"/>
          <w:b/>
          <w:bCs/>
          <w:sz w:val="24"/>
          <w:szCs w:val="24"/>
        </w:rPr>
        <w:t>Cultural and Contextual Considerations</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t>In Aboriginal and Torres Strait Islander communities, dual relationships are often inevitable due to kinship systems and communal structures. Rather than avoiding dual roles entirely, social workers must approach them with cultural humility and transparency (Briskman, 2014). This includes recognizing power dynamics, seeking cultural supervision, and prioritizing community-defined ethics alongside professional standards.</w:t>
      </w:r>
    </w:p>
    <w:p w:rsidR="00FA0CB2" w:rsidRPr="00FA0CB2" w:rsidRDefault="00FA0CB2" w:rsidP="00FA0CB2">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FA0CB2">
        <w:rPr>
          <w:rFonts w:ascii="Times New Roman" w:eastAsia="Times New Roman" w:hAnsi="Times New Roman" w:cs="Times New Roman"/>
          <w:b/>
          <w:bCs/>
          <w:sz w:val="24"/>
          <w:szCs w:val="24"/>
        </w:rPr>
        <w:t>Personal Reflection</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t>As a student social worker, I have encountered similar tensions during placement in small community agencies. It is tempting to “fix” situations quickly or maintain harmony by avoiding difficult conversations. However, these situations remind me that ethical practice is not about avoiding complexity, but rather engaging with it thoughtfully.</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t>In Rita’s case, acknowledging her emotional discomfort and seeking supervisory support is not a weakness but a sign of ethical maturity. It reinforces that the wellbeing of the client and integrity of the profession must guide decisions.</w:t>
      </w:r>
    </w:p>
    <w:p w:rsidR="00FA0CB2" w:rsidRPr="00FA0CB2" w:rsidRDefault="00FA0CB2" w:rsidP="00FA0CB2">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FA0CB2">
        <w:rPr>
          <w:rFonts w:ascii="Times New Roman" w:eastAsia="Times New Roman" w:hAnsi="Times New Roman" w:cs="Times New Roman"/>
          <w:b/>
          <w:bCs/>
          <w:sz w:val="24"/>
          <w:szCs w:val="24"/>
        </w:rPr>
        <w:t>Conclusion</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lastRenderedPageBreak/>
        <w:t>Dual relationships are complex and context-dependent, particularly in tight-knit or culturally specific communities. While not inherently unethical, they require vigilance, planning, and reflective practice. This report emphasizes the importance of ethical guidelines, supervision, and client-centered decision-making in maintaining boundaries and minimizing harm. For social workers like Rita, navigating these relationships is not about perfection, but about transparency, humility, and continuous learning.</w:t>
      </w:r>
    </w:p>
    <w:p w:rsidR="00FA0CB2" w:rsidRPr="00FA0CB2" w:rsidRDefault="00FA0CB2" w:rsidP="00FA0CB2">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r w:rsidRPr="00FA0CB2">
        <w:rPr>
          <w:rFonts w:ascii="Times New Roman" w:eastAsia="Times New Roman" w:hAnsi="Times New Roman" w:cs="Times New Roman"/>
          <w:b/>
          <w:bCs/>
          <w:sz w:val="24"/>
          <w:szCs w:val="24"/>
        </w:rPr>
        <w:br w:type="page"/>
      </w:r>
    </w:p>
    <w:p w:rsidR="00FA0CB2" w:rsidRPr="00FA0CB2" w:rsidRDefault="00FA0CB2" w:rsidP="00FA0CB2">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FA0CB2">
        <w:rPr>
          <w:rFonts w:ascii="Times New Roman" w:eastAsia="Times New Roman" w:hAnsi="Times New Roman" w:cs="Times New Roman"/>
          <w:b/>
          <w:bCs/>
          <w:sz w:val="24"/>
          <w:szCs w:val="24"/>
        </w:rPr>
        <w:lastRenderedPageBreak/>
        <w:t>References</w:t>
      </w:r>
    </w:p>
    <w:p w:rsidR="00FA0CB2" w:rsidRPr="00FA0CB2" w:rsidRDefault="00FA0CB2" w:rsidP="00FA0CB2">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FA0CB2">
        <w:rPr>
          <w:rFonts w:ascii="Times New Roman" w:eastAsia="Times New Roman" w:hAnsi="Times New Roman" w:cs="Times New Roman"/>
          <w:sz w:val="24"/>
          <w:szCs w:val="24"/>
        </w:rPr>
        <w:t xml:space="preserve">AASW. (2020). </w:t>
      </w:r>
      <w:r w:rsidRPr="00FA0CB2">
        <w:rPr>
          <w:rFonts w:ascii="Times New Roman" w:eastAsia="Times New Roman" w:hAnsi="Times New Roman" w:cs="Times New Roman"/>
          <w:i/>
          <w:iCs/>
          <w:sz w:val="24"/>
          <w:szCs w:val="24"/>
        </w:rPr>
        <w:t>Code of Ethics</w:t>
      </w:r>
      <w:r w:rsidRPr="00FA0CB2">
        <w:rPr>
          <w:rFonts w:ascii="Times New Roman" w:eastAsia="Times New Roman" w:hAnsi="Times New Roman" w:cs="Times New Roman"/>
          <w:sz w:val="24"/>
          <w:szCs w:val="24"/>
        </w:rPr>
        <w:t>. Australian Association of Social Workers.</w:t>
      </w:r>
      <w:r w:rsidRPr="00FA0CB2">
        <w:rPr>
          <w:rFonts w:ascii="Times New Roman" w:eastAsia="Times New Roman" w:hAnsi="Times New Roman" w:cs="Times New Roman"/>
          <w:sz w:val="24"/>
          <w:szCs w:val="24"/>
        </w:rPr>
        <w:br/>
        <w:t xml:space="preserve">Briskman, L. (2014). </w:t>
      </w:r>
      <w:r w:rsidRPr="00FA0CB2">
        <w:rPr>
          <w:rFonts w:ascii="Times New Roman" w:eastAsia="Times New Roman" w:hAnsi="Times New Roman" w:cs="Times New Roman"/>
          <w:i/>
          <w:iCs/>
          <w:sz w:val="24"/>
          <w:szCs w:val="24"/>
        </w:rPr>
        <w:t>Social work ethics: Progressive and practical approaches</w:t>
      </w:r>
      <w:r w:rsidRPr="00FA0CB2">
        <w:rPr>
          <w:rFonts w:ascii="Times New Roman" w:eastAsia="Times New Roman" w:hAnsi="Times New Roman" w:cs="Times New Roman"/>
          <w:sz w:val="24"/>
          <w:szCs w:val="24"/>
        </w:rPr>
        <w:t>. Allen &amp; Unwin.</w:t>
      </w:r>
      <w:r w:rsidRPr="00FA0CB2">
        <w:rPr>
          <w:rFonts w:ascii="Times New Roman" w:eastAsia="Times New Roman" w:hAnsi="Times New Roman" w:cs="Times New Roman"/>
          <w:sz w:val="24"/>
          <w:szCs w:val="24"/>
        </w:rPr>
        <w:br/>
        <w:t xml:space="preserve">Gonyea, J. G., Wright, D. W., &amp; Earl, J. (2014). Navigating dual relationships in rural communities. </w:t>
      </w:r>
      <w:r w:rsidRPr="00FA0CB2">
        <w:rPr>
          <w:rFonts w:ascii="Times New Roman" w:eastAsia="Times New Roman" w:hAnsi="Times New Roman" w:cs="Times New Roman"/>
          <w:i/>
          <w:iCs/>
          <w:sz w:val="24"/>
          <w:szCs w:val="24"/>
        </w:rPr>
        <w:t>Journal of Social Work Values and Ethics</w:t>
      </w:r>
      <w:r w:rsidRPr="00FA0CB2">
        <w:rPr>
          <w:rFonts w:ascii="Times New Roman" w:eastAsia="Times New Roman" w:hAnsi="Times New Roman" w:cs="Times New Roman"/>
          <w:sz w:val="24"/>
          <w:szCs w:val="24"/>
        </w:rPr>
        <w:t>, 11(1), 19–26.</w:t>
      </w:r>
      <w:r w:rsidRPr="00FA0CB2">
        <w:rPr>
          <w:rFonts w:ascii="Times New Roman" w:eastAsia="Times New Roman" w:hAnsi="Times New Roman" w:cs="Times New Roman"/>
          <w:sz w:val="24"/>
          <w:szCs w:val="24"/>
        </w:rPr>
        <w:br/>
        <w:t xml:space="preserve">NASW. (2021). </w:t>
      </w:r>
      <w:r w:rsidRPr="00FA0CB2">
        <w:rPr>
          <w:rFonts w:ascii="Times New Roman" w:eastAsia="Times New Roman" w:hAnsi="Times New Roman" w:cs="Times New Roman"/>
          <w:i/>
          <w:iCs/>
          <w:sz w:val="24"/>
          <w:szCs w:val="24"/>
        </w:rPr>
        <w:t>Code of Ethics</w:t>
      </w:r>
      <w:r w:rsidRPr="00FA0CB2">
        <w:rPr>
          <w:rFonts w:ascii="Times New Roman" w:eastAsia="Times New Roman" w:hAnsi="Times New Roman" w:cs="Times New Roman"/>
          <w:sz w:val="24"/>
          <w:szCs w:val="24"/>
        </w:rPr>
        <w:t>. National Association of Social Workers.</w:t>
      </w:r>
      <w:r w:rsidRPr="00FA0CB2">
        <w:rPr>
          <w:rFonts w:ascii="Times New Roman" w:eastAsia="Times New Roman" w:hAnsi="Times New Roman" w:cs="Times New Roman"/>
          <w:sz w:val="24"/>
          <w:szCs w:val="24"/>
        </w:rPr>
        <w:br/>
        <w:t xml:space="preserve">Reamer, F. G. (2018). </w:t>
      </w:r>
      <w:r w:rsidRPr="00FA0CB2">
        <w:rPr>
          <w:rFonts w:ascii="Times New Roman" w:eastAsia="Times New Roman" w:hAnsi="Times New Roman" w:cs="Times New Roman"/>
          <w:i/>
          <w:iCs/>
          <w:sz w:val="24"/>
          <w:szCs w:val="24"/>
        </w:rPr>
        <w:t>Ethics and risk management in online and distance social work</w:t>
      </w:r>
      <w:r w:rsidRPr="00FA0CB2">
        <w:rPr>
          <w:rFonts w:ascii="Times New Roman" w:eastAsia="Times New Roman" w:hAnsi="Times New Roman" w:cs="Times New Roman"/>
          <w:sz w:val="24"/>
          <w:szCs w:val="24"/>
        </w:rPr>
        <w:t>. Columbia University Press.</w:t>
      </w:r>
      <w:r w:rsidRPr="00FA0CB2">
        <w:rPr>
          <w:rFonts w:ascii="Times New Roman" w:eastAsia="Times New Roman" w:hAnsi="Times New Roman" w:cs="Times New Roman"/>
          <w:sz w:val="24"/>
          <w:szCs w:val="24"/>
        </w:rPr>
        <w:br/>
        <w:t xml:space="preserve">Zubrzycki, J., &amp; McArthur, M. (2015). Reflective supervision and practice in rural and remote settings. </w:t>
      </w:r>
      <w:r w:rsidRPr="00FA0CB2">
        <w:rPr>
          <w:rFonts w:ascii="Times New Roman" w:eastAsia="Times New Roman" w:hAnsi="Times New Roman" w:cs="Times New Roman"/>
          <w:i/>
          <w:iCs/>
          <w:sz w:val="24"/>
          <w:szCs w:val="24"/>
        </w:rPr>
        <w:t>Australian Social Work</w:t>
      </w:r>
      <w:r w:rsidRPr="00FA0CB2">
        <w:rPr>
          <w:rFonts w:ascii="Times New Roman" w:eastAsia="Times New Roman" w:hAnsi="Times New Roman" w:cs="Times New Roman"/>
          <w:sz w:val="24"/>
          <w:szCs w:val="24"/>
        </w:rPr>
        <w:t>, 68(4), 478–493.</w:t>
      </w:r>
    </w:p>
    <w:p w:rsidR="00D64D7E" w:rsidRPr="00FA0CB2" w:rsidRDefault="00D64D7E" w:rsidP="00FA0CB2">
      <w:pPr>
        <w:spacing w:before="100" w:beforeAutospacing="1" w:after="100" w:afterAutospacing="1" w:line="480" w:lineRule="auto"/>
        <w:ind w:firstLine="720"/>
        <w:contextualSpacing/>
        <w:rPr>
          <w:sz w:val="24"/>
          <w:szCs w:val="24"/>
        </w:rPr>
      </w:pPr>
    </w:p>
    <w:sectPr w:rsidR="00D64D7E" w:rsidRPr="00FA0C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ABA" w:rsidRDefault="00907ABA" w:rsidP="00FA0CB2">
      <w:pPr>
        <w:spacing w:after="0" w:line="240" w:lineRule="auto"/>
      </w:pPr>
      <w:r>
        <w:separator/>
      </w:r>
    </w:p>
  </w:endnote>
  <w:endnote w:type="continuationSeparator" w:id="0">
    <w:p w:rsidR="00907ABA" w:rsidRDefault="00907ABA" w:rsidP="00FA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ABA" w:rsidRDefault="00907ABA" w:rsidP="00FA0CB2">
      <w:pPr>
        <w:spacing w:after="0" w:line="240" w:lineRule="auto"/>
      </w:pPr>
      <w:r>
        <w:separator/>
      </w:r>
    </w:p>
  </w:footnote>
  <w:footnote w:type="continuationSeparator" w:id="0">
    <w:p w:rsidR="00907ABA" w:rsidRDefault="00907ABA" w:rsidP="00FA0C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98373"/>
      <w:docPartObj>
        <w:docPartGallery w:val="Page Numbers (Top of Page)"/>
        <w:docPartUnique/>
      </w:docPartObj>
    </w:sdtPr>
    <w:sdtEndPr>
      <w:rPr>
        <w:noProof/>
      </w:rPr>
    </w:sdtEndPr>
    <w:sdtContent>
      <w:p w:rsidR="00FA0CB2" w:rsidRDefault="00FA0CB2">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FA0CB2" w:rsidRDefault="00FA0C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226F0"/>
    <w:multiLevelType w:val="hybridMultilevel"/>
    <w:tmpl w:val="3DD0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2065A"/>
    <w:multiLevelType w:val="multilevel"/>
    <w:tmpl w:val="DAA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B06B5"/>
    <w:multiLevelType w:val="hybridMultilevel"/>
    <w:tmpl w:val="D0EED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579AF"/>
    <w:multiLevelType w:val="multilevel"/>
    <w:tmpl w:val="0372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80ED4"/>
    <w:multiLevelType w:val="multilevel"/>
    <w:tmpl w:val="1BA4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56648"/>
    <w:multiLevelType w:val="hybridMultilevel"/>
    <w:tmpl w:val="5680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B2"/>
    <w:rsid w:val="00907ABA"/>
    <w:rsid w:val="00D64D7E"/>
    <w:rsid w:val="00FA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36AD1-A23C-4CD5-915E-D2DC7A7B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0C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0C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C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0CB2"/>
    <w:rPr>
      <w:rFonts w:ascii="Times New Roman" w:eastAsia="Times New Roman" w:hAnsi="Times New Roman" w:cs="Times New Roman"/>
      <w:b/>
      <w:bCs/>
      <w:sz w:val="27"/>
      <w:szCs w:val="27"/>
    </w:rPr>
  </w:style>
  <w:style w:type="character" w:styleId="Strong">
    <w:name w:val="Strong"/>
    <w:basedOn w:val="DefaultParagraphFont"/>
    <w:uiPriority w:val="22"/>
    <w:qFormat/>
    <w:rsid w:val="00FA0CB2"/>
    <w:rPr>
      <w:b/>
      <w:bCs/>
    </w:rPr>
  </w:style>
  <w:style w:type="paragraph" w:styleId="NormalWeb">
    <w:name w:val="Normal (Web)"/>
    <w:basedOn w:val="Normal"/>
    <w:uiPriority w:val="99"/>
    <w:semiHidden/>
    <w:unhideWhenUsed/>
    <w:rsid w:val="00FA0C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0CB2"/>
    <w:rPr>
      <w:i/>
      <w:iCs/>
    </w:rPr>
  </w:style>
  <w:style w:type="paragraph" w:styleId="ListParagraph">
    <w:name w:val="List Paragraph"/>
    <w:basedOn w:val="Normal"/>
    <w:uiPriority w:val="34"/>
    <w:qFormat/>
    <w:rsid w:val="00FA0CB2"/>
    <w:pPr>
      <w:ind w:left="720"/>
      <w:contextualSpacing/>
    </w:pPr>
  </w:style>
  <w:style w:type="paragraph" w:styleId="Header">
    <w:name w:val="header"/>
    <w:basedOn w:val="Normal"/>
    <w:link w:val="HeaderChar"/>
    <w:uiPriority w:val="99"/>
    <w:unhideWhenUsed/>
    <w:rsid w:val="00FA0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CB2"/>
  </w:style>
  <w:style w:type="paragraph" w:styleId="Footer">
    <w:name w:val="footer"/>
    <w:basedOn w:val="Normal"/>
    <w:link w:val="FooterChar"/>
    <w:uiPriority w:val="99"/>
    <w:unhideWhenUsed/>
    <w:rsid w:val="00FA0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6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2025-07-15T10:20:00Z</dcterms:created>
  <dcterms:modified xsi:type="dcterms:W3CDTF">2025-07-15T10:29:00Z</dcterms:modified>
</cp:coreProperties>
</file>