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p>
    <w:p w:rsid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p>
    <w:p w:rsid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p>
    <w:p w:rsid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p>
    <w:p w:rsid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bookmarkStart w:id="0" w:name="_GoBack"/>
      <w:bookmarkEnd w:id="0"/>
    </w:p>
    <w:p w:rsid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p>
    <w:p w:rsid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r w:rsidRPr="001449A8">
        <w:rPr>
          <w:rFonts w:ascii="Times New Roman" w:hAnsi="Times New Roman" w:cs="Times New Roman"/>
          <w:b/>
          <w:sz w:val="24"/>
          <w:szCs w:val="24"/>
        </w:rPr>
        <w:t>The Evolution and Impact of Child Protection Policies in Australia</w:t>
      </w:r>
    </w:p>
    <w:p w:rsid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p>
    <w:p w:rsidR="001449A8" w:rsidRDefault="001449A8" w:rsidP="001449A8">
      <w:pPr>
        <w:spacing w:before="100" w:beforeAutospacing="1" w:after="100" w:afterAutospacing="1" w:line="480" w:lineRule="auto"/>
        <w:ind w:firstLine="720"/>
        <w:contextualSpacing/>
        <w:jc w:val="center"/>
        <w:rPr>
          <w:rFonts w:ascii="Times New Roman" w:hAnsi="Times New Roman" w:cs="Times New Roman"/>
          <w:sz w:val="24"/>
          <w:szCs w:val="24"/>
        </w:rPr>
      </w:pPr>
    </w:p>
    <w:p w:rsidR="001449A8" w:rsidRPr="001449A8" w:rsidRDefault="001449A8" w:rsidP="001449A8">
      <w:pPr>
        <w:spacing w:before="100" w:beforeAutospacing="1" w:after="100" w:afterAutospacing="1" w:line="480" w:lineRule="auto"/>
        <w:ind w:firstLine="720"/>
        <w:contextualSpacing/>
        <w:jc w:val="center"/>
        <w:rPr>
          <w:rFonts w:ascii="Times New Roman" w:hAnsi="Times New Roman" w:cs="Times New Roman"/>
          <w:sz w:val="24"/>
          <w:szCs w:val="24"/>
        </w:rPr>
      </w:pPr>
    </w:p>
    <w:p w:rsidR="001449A8" w:rsidRDefault="001449A8">
      <w:pPr>
        <w:rPr>
          <w:rFonts w:ascii="Times New Roman" w:hAnsi="Times New Roman" w:cs="Times New Roman"/>
          <w:b/>
          <w:sz w:val="24"/>
          <w:szCs w:val="24"/>
        </w:rPr>
      </w:pPr>
      <w:r>
        <w:rPr>
          <w:rFonts w:ascii="Times New Roman" w:hAnsi="Times New Roman" w:cs="Times New Roman"/>
          <w:b/>
          <w:sz w:val="24"/>
          <w:szCs w:val="24"/>
        </w:rPr>
        <w:br w:type="page"/>
      </w:r>
    </w:p>
    <w:p w:rsidR="001449A8" w:rsidRP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r w:rsidRPr="001449A8">
        <w:rPr>
          <w:rFonts w:ascii="Times New Roman" w:hAnsi="Times New Roman" w:cs="Times New Roman"/>
          <w:b/>
          <w:sz w:val="24"/>
          <w:szCs w:val="24"/>
        </w:rPr>
        <w:lastRenderedPageBreak/>
        <w:t>Abstract</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Child protection in Australia has undergone a dramatic transformation over the last century. From early institutional and punitive responses to more collaborative and preventative approaches, policy and practice have evolved in response to changing social norms, government inquiries, and international standards. This paper examines the historical development, legislative reforms, and practical impacts of child protection policies in Australia. It also discusses persistent challenges such as Indigenous overrepresentation, under-resourcing, and interagency fragmentation, offering recommendations for improving chi</w:t>
      </w:r>
      <w:r>
        <w:rPr>
          <w:rFonts w:ascii="Times New Roman" w:hAnsi="Times New Roman" w:cs="Times New Roman"/>
          <w:sz w:val="24"/>
          <w:szCs w:val="24"/>
        </w:rPr>
        <w:t>ld welfare outcomes nationally.</w:t>
      </w:r>
    </w:p>
    <w:p w:rsidR="001449A8" w:rsidRP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r w:rsidRPr="001449A8">
        <w:rPr>
          <w:rFonts w:ascii="Times New Roman" w:hAnsi="Times New Roman" w:cs="Times New Roman"/>
          <w:b/>
          <w:sz w:val="24"/>
          <w:szCs w:val="24"/>
        </w:rPr>
        <w:t>Introduction</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The protection of children from abuse, neglect, and exploitation is a cornerstone of any just and humane society. In Australia, child protection policy has evolved from a fragmented and punitive model to a more integrated and rights-based framework (Tomison, 2001). However, despite substantial legislative and institutional reforms, systemic challenges remain. This paper traces the development of Australian child protection policies, focusing on their evolution, impact, and areas in need of further attention</w:t>
      </w:r>
      <w:r>
        <w:rPr>
          <w:rFonts w:ascii="Times New Roman" w:hAnsi="Times New Roman" w:cs="Times New Roman"/>
          <w:sz w:val="24"/>
          <w:szCs w:val="24"/>
        </w:rPr>
        <w:t>.</w:t>
      </w:r>
    </w:p>
    <w:p w:rsidR="001449A8" w:rsidRP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r w:rsidRPr="001449A8">
        <w:rPr>
          <w:rFonts w:ascii="Times New Roman" w:hAnsi="Times New Roman" w:cs="Times New Roman"/>
          <w:b/>
          <w:sz w:val="24"/>
          <w:szCs w:val="24"/>
        </w:rPr>
        <w:t>Historical Background</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Early child protection responses in Australia were modeled on British colonial practices, which largely viewed children as either "delinquent" or "destitute." Institutionalization was the dominant response, with children frequently placed in orphanages, reformatories, or foster homes (Scott &amp; Swain, 2002). Policies were fragmented across state and territory jurisdictions and largely driven by religiou</w:t>
      </w:r>
      <w:r>
        <w:rPr>
          <w:rFonts w:ascii="Times New Roman" w:hAnsi="Times New Roman" w:cs="Times New Roman"/>
          <w:sz w:val="24"/>
          <w:szCs w:val="24"/>
        </w:rPr>
        <w:t>s and charitable organizations.</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lastRenderedPageBreak/>
        <w:t>The Neglected Children and Juvenile Offenders Act 1864 (VIC) marked a foundational legislative shift, introducing formal mechanisms for the state to intervene in cases of neglect or abuse. However, these interventions often lacked child-centered focus and disproportionately targeted the poor and marginali</w:t>
      </w:r>
      <w:r>
        <w:rPr>
          <w:rFonts w:ascii="Times New Roman" w:hAnsi="Times New Roman" w:cs="Times New Roman"/>
          <w:sz w:val="24"/>
          <w:szCs w:val="24"/>
        </w:rPr>
        <w:t>zed (Swain, 2014).</w:t>
      </w:r>
    </w:p>
    <w:p w:rsidR="001449A8" w:rsidRP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r w:rsidRPr="001449A8">
        <w:rPr>
          <w:rFonts w:ascii="Times New Roman" w:hAnsi="Times New Roman" w:cs="Times New Roman"/>
          <w:b/>
          <w:sz w:val="24"/>
          <w:szCs w:val="24"/>
        </w:rPr>
        <w:t>Reform and Modernization</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The 1980s and 1990s marked a significant turning point in Australian child protection. Public awareness of child abuse rose dramatically, driven by high-profile cases and media attention. The Royal Commission into Aboriginal Deaths in Custody (1991) and subsequent Royal Commission into Institutional Responses to Child Sexual Abuse (2017) highlighted systemic failures across welfare, church</w:t>
      </w:r>
      <w:r>
        <w:rPr>
          <w:rFonts w:ascii="Times New Roman" w:hAnsi="Times New Roman" w:cs="Times New Roman"/>
          <w:sz w:val="24"/>
          <w:szCs w:val="24"/>
        </w:rPr>
        <w:t>, and educational institutions.</w:t>
      </w:r>
    </w:p>
    <w:p w:rsidR="001449A8" w:rsidRPr="001449A8" w:rsidRDefault="001449A8" w:rsidP="001449A8">
      <w:pP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1449A8">
        <w:rPr>
          <w:rFonts w:ascii="Times New Roman" w:hAnsi="Times New Roman" w:cs="Times New Roman"/>
          <w:sz w:val="24"/>
          <w:szCs w:val="24"/>
        </w:rPr>
        <w:t>This period saw the establishment of key l</w:t>
      </w:r>
      <w:r>
        <w:rPr>
          <w:rFonts w:ascii="Times New Roman" w:hAnsi="Times New Roman" w:cs="Times New Roman"/>
          <w:sz w:val="24"/>
          <w:szCs w:val="24"/>
        </w:rPr>
        <w:t>egislative reforms, including:</w:t>
      </w:r>
    </w:p>
    <w:p w:rsidR="001449A8" w:rsidRDefault="001449A8" w:rsidP="001449A8">
      <w:pPr>
        <w:pStyle w:val="ListParagraph"/>
        <w:numPr>
          <w:ilvl w:val="0"/>
          <w:numId w:val="1"/>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Children and Community Services Act 2004 (WA)</w:t>
      </w:r>
    </w:p>
    <w:p w:rsidR="001449A8" w:rsidRDefault="001449A8" w:rsidP="001449A8">
      <w:pPr>
        <w:pStyle w:val="ListParagraph"/>
        <w:numPr>
          <w:ilvl w:val="0"/>
          <w:numId w:val="1"/>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Children and Young Persons (Care and Protection) Act 1998 (NSW)</w:t>
      </w:r>
    </w:p>
    <w:p w:rsidR="001449A8" w:rsidRPr="001449A8" w:rsidRDefault="001449A8" w:rsidP="001449A8">
      <w:pPr>
        <w:pStyle w:val="ListParagraph"/>
        <w:numPr>
          <w:ilvl w:val="0"/>
          <w:numId w:val="1"/>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Child Protection Act 1999 (QLD)</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These acts emphasized early intervention, family support, and the professionalization of the child welfare workforce (AIFS, 2015).</w:t>
      </w:r>
    </w:p>
    <w:p w:rsidR="001449A8" w:rsidRPr="001449A8" w:rsidRDefault="001449A8" w:rsidP="001449A8">
      <w:pPr>
        <w:spacing w:before="100" w:beforeAutospacing="1" w:after="100" w:afterAutospacing="1" w:line="480" w:lineRule="auto"/>
        <w:contextualSpacing/>
        <w:jc w:val="center"/>
        <w:rPr>
          <w:rFonts w:ascii="Times New Roman" w:hAnsi="Times New Roman" w:cs="Times New Roman"/>
          <w:b/>
          <w:sz w:val="24"/>
          <w:szCs w:val="24"/>
        </w:rPr>
      </w:pPr>
      <w:r w:rsidRPr="001449A8">
        <w:rPr>
          <w:rFonts w:ascii="Times New Roman" w:hAnsi="Times New Roman" w:cs="Times New Roman"/>
          <w:b/>
          <w:sz w:val="24"/>
          <w:szCs w:val="24"/>
        </w:rPr>
        <w:t>National Frameworks and Coordination</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In 2009, Australia launched the National Framework for Protecting Australia’s Children 2009–2020, a landmark agreement between federal, state, and territory governments. It aimed to make child protection “everyone’s responsibility,” emphasizing prevention, early intervention, and inter-agency collaboration (Council of Australian Governments [COAG], 2009).</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lastRenderedPageBreak/>
        <w:t>Key features of the framework included:</w:t>
      </w:r>
    </w:p>
    <w:p w:rsidR="001449A8" w:rsidRPr="001449A8" w:rsidRDefault="001449A8" w:rsidP="001449A8">
      <w:pPr>
        <w:pStyle w:val="ListParagraph"/>
        <w:numPr>
          <w:ilvl w:val="0"/>
          <w:numId w:val="6"/>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Priority focus on Indigenous children and families</w:t>
      </w:r>
    </w:p>
    <w:p w:rsidR="001449A8" w:rsidRDefault="001449A8" w:rsidP="001449A8">
      <w:pPr>
        <w:pStyle w:val="ListParagraph"/>
        <w:numPr>
          <w:ilvl w:val="0"/>
          <w:numId w:val="2"/>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Integrated family support services</w:t>
      </w:r>
    </w:p>
    <w:p w:rsidR="001449A8" w:rsidRDefault="001449A8" w:rsidP="001449A8">
      <w:pPr>
        <w:pStyle w:val="ListParagraph"/>
        <w:numPr>
          <w:ilvl w:val="0"/>
          <w:numId w:val="2"/>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Performance indicators and national reporting</w:t>
      </w:r>
    </w:p>
    <w:p w:rsidR="001449A8" w:rsidRPr="001449A8" w:rsidRDefault="001449A8" w:rsidP="001449A8">
      <w:pPr>
        <w:pStyle w:val="ListParagraph"/>
        <w:numPr>
          <w:ilvl w:val="0"/>
          <w:numId w:val="2"/>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Alignment with the United Nations Convention on the Rights of the Child (CRC)</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Though the framework improved collaboration, evaluations noted gaps in implementation, insufficient data-sharing, and limited engagement with frontline practitioners (De</w:t>
      </w:r>
      <w:r>
        <w:rPr>
          <w:rFonts w:ascii="Times New Roman" w:hAnsi="Times New Roman" w:cs="Times New Roman"/>
          <w:sz w:val="24"/>
          <w:szCs w:val="24"/>
        </w:rPr>
        <w:t>loitte Access Economics, 2015).</w:t>
      </w:r>
    </w:p>
    <w:p w:rsidR="001449A8" w:rsidRP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r w:rsidRPr="001449A8">
        <w:rPr>
          <w:rFonts w:ascii="Times New Roman" w:hAnsi="Times New Roman" w:cs="Times New Roman"/>
          <w:b/>
          <w:sz w:val="24"/>
          <w:szCs w:val="24"/>
        </w:rPr>
        <w:t>Child Safe Standards and Mandatory Reporting</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In response to the Royal Commission’s findings, Child Safe Standards were introduced nationally. These standards aim to foster child-centered organizations and prevent abuse through governance, screening, and child participation mechanisms (Royal Commission, 2017).</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Most states now require mandatory reporting from professionals such as teachers, doctors, and police officers. While this has increased notifications to child protection agencies, critics argue that without proportional funding and training, the system becomes reactive an</w:t>
      </w:r>
      <w:r>
        <w:rPr>
          <w:rFonts w:ascii="Times New Roman" w:hAnsi="Times New Roman" w:cs="Times New Roman"/>
          <w:sz w:val="24"/>
          <w:szCs w:val="24"/>
        </w:rPr>
        <w:t>d overburdened (Mathews, 2014).</w:t>
      </w:r>
    </w:p>
    <w:p w:rsidR="001449A8" w:rsidRP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r w:rsidRPr="001449A8">
        <w:rPr>
          <w:rFonts w:ascii="Times New Roman" w:hAnsi="Times New Roman" w:cs="Times New Roman"/>
          <w:b/>
          <w:sz w:val="24"/>
          <w:szCs w:val="24"/>
        </w:rPr>
        <w:t>Persistent Challenges</w:t>
      </w:r>
    </w:p>
    <w:p w:rsidR="001449A8" w:rsidRPr="001449A8" w:rsidRDefault="001449A8" w:rsidP="001449A8">
      <w:pPr>
        <w:spacing w:before="100" w:beforeAutospacing="1" w:after="100" w:afterAutospacing="1" w:line="480" w:lineRule="auto"/>
        <w:contextualSpacing/>
        <w:rPr>
          <w:rFonts w:ascii="Times New Roman" w:hAnsi="Times New Roman" w:cs="Times New Roman"/>
          <w:b/>
          <w:sz w:val="24"/>
          <w:szCs w:val="24"/>
        </w:rPr>
      </w:pPr>
      <w:r w:rsidRPr="001449A8">
        <w:rPr>
          <w:rFonts w:ascii="Times New Roman" w:hAnsi="Times New Roman" w:cs="Times New Roman"/>
          <w:b/>
          <w:sz w:val="24"/>
          <w:szCs w:val="24"/>
        </w:rPr>
        <w:t>Overrepresentation of Indigenous Children</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Aboriginal and Torres Strait Islander children remain significantly overrepresented in the child protection system. As of 2023, they make up over 40% of children in out-of-home care despite representing just 6% of the population under 18 (AIHW, 2023). This disparity is linked to intergenerational trauma, poverty, racism, and systemic bias (SNAICC, 2019).</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lastRenderedPageBreak/>
        <w:t>The Aboriginal Child Placement Principle (ACPP)—which prioritizes kinship and community-based care—has been inconsistently applied across jurisdictions. Indigenous organizations continue to call for self-determination and cultural leadership in all aspects of policy development and service delivery (Tilbury, 2009).</w:t>
      </w:r>
    </w:p>
    <w:p w:rsidR="001449A8" w:rsidRPr="001449A8" w:rsidRDefault="001449A8" w:rsidP="001449A8">
      <w:pPr>
        <w:spacing w:before="100" w:beforeAutospacing="1" w:after="100" w:afterAutospacing="1" w:line="480" w:lineRule="auto"/>
        <w:contextualSpacing/>
        <w:rPr>
          <w:rFonts w:ascii="Times New Roman" w:hAnsi="Times New Roman" w:cs="Times New Roman"/>
          <w:b/>
          <w:sz w:val="24"/>
          <w:szCs w:val="24"/>
        </w:rPr>
      </w:pPr>
      <w:r w:rsidRPr="001449A8">
        <w:rPr>
          <w:rFonts w:ascii="Times New Roman" w:hAnsi="Times New Roman" w:cs="Times New Roman"/>
          <w:b/>
          <w:sz w:val="24"/>
          <w:szCs w:val="24"/>
        </w:rPr>
        <w:t>Workforce and Resource Limitations</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Child protection workers face high caseloads, burnout, and high turnover rates. These pressures affect the consistency and quality of support provided to vulnerable children and families (Healy &amp; Meagher, 2007). Despite increasing notifications, funding for early intervention and family preservati</w:t>
      </w:r>
      <w:r>
        <w:rPr>
          <w:rFonts w:ascii="Times New Roman" w:hAnsi="Times New Roman" w:cs="Times New Roman"/>
          <w:sz w:val="24"/>
          <w:szCs w:val="24"/>
        </w:rPr>
        <w:t>on services remains inadequate.</w:t>
      </w:r>
    </w:p>
    <w:p w:rsidR="001449A8" w:rsidRPr="001449A8" w:rsidRDefault="001449A8" w:rsidP="001449A8">
      <w:pPr>
        <w:spacing w:before="100" w:beforeAutospacing="1" w:after="100" w:afterAutospacing="1" w:line="480" w:lineRule="auto"/>
        <w:contextualSpacing/>
        <w:rPr>
          <w:rFonts w:ascii="Times New Roman" w:hAnsi="Times New Roman" w:cs="Times New Roman"/>
          <w:b/>
          <w:sz w:val="24"/>
          <w:szCs w:val="24"/>
        </w:rPr>
      </w:pPr>
      <w:r w:rsidRPr="001449A8">
        <w:rPr>
          <w:rFonts w:ascii="Times New Roman" w:hAnsi="Times New Roman" w:cs="Times New Roman"/>
          <w:b/>
          <w:sz w:val="24"/>
          <w:szCs w:val="24"/>
        </w:rPr>
        <w:t>Fragmented Systems</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Due to Australia's federal system, responsibility for child protection lies with individual states and territories. This leads to variations in laws, terminology, and practices, complicating efforts to coordinate care across borders (Fernandez &amp; Lee, 2017). Although national frameworks aim to align standards,</w:t>
      </w:r>
      <w:r>
        <w:rPr>
          <w:rFonts w:ascii="Times New Roman" w:hAnsi="Times New Roman" w:cs="Times New Roman"/>
          <w:sz w:val="24"/>
          <w:szCs w:val="24"/>
        </w:rPr>
        <w:t xml:space="preserve"> implementation remains uneven.</w:t>
      </w:r>
    </w:p>
    <w:p w:rsidR="001449A8" w:rsidRP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r w:rsidRPr="001449A8">
        <w:rPr>
          <w:rFonts w:ascii="Times New Roman" w:hAnsi="Times New Roman" w:cs="Times New Roman"/>
          <w:b/>
          <w:sz w:val="24"/>
          <w:szCs w:val="24"/>
        </w:rPr>
        <w:t>Positive Developments and Innovations</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Despite challenges, there</w:t>
      </w:r>
      <w:r>
        <w:rPr>
          <w:rFonts w:ascii="Times New Roman" w:hAnsi="Times New Roman" w:cs="Times New Roman"/>
          <w:sz w:val="24"/>
          <w:szCs w:val="24"/>
        </w:rPr>
        <w:t xml:space="preserve"> have been notable innovations:</w:t>
      </w:r>
    </w:p>
    <w:p w:rsidR="001449A8" w:rsidRDefault="001449A8" w:rsidP="001449A8">
      <w:pPr>
        <w:pStyle w:val="ListParagraph"/>
        <w:numPr>
          <w:ilvl w:val="0"/>
          <w:numId w:val="4"/>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Family Group Conferencing (FGC): A restorative practice involving extended family in case planning, increasingly used to prevent out-of-home placements.</w:t>
      </w:r>
    </w:p>
    <w:p w:rsidR="001449A8" w:rsidRDefault="001449A8" w:rsidP="001449A8">
      <w:pPr>
        <w:pStyle w:val="ListParagraph"/>
        <w:numPr>
          <w:ilvl w:val="0"/>
          <w:numId w:val="4"/>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Early Years Networks: Programs integrating education, health, and welfare services for families with young children, particularly in disadvantaged areas.</w:t>
      </w:r>
    </w:p>
    <w:p w:rsidR="001449A8" w:rsidRPr="001449A8" w:rsidRDefault="001449A8" w:rsidP="001449A8">
      <w:pPr>
        <w:pStyle w:val="ListParagraph"/>
        <w:numPr>
          <w:ilvl w:val="0"/>
          <w:numId w:val="4"/>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Aboriginal-led models: Initiatives like Wungening Moort (WA) and VACCA (VIC) show promise in delivering culturally safe, community-driven care.</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p>
    <w:p w:rsidR="001449A8" w:rsidRP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r w:rsidRPr="001449A8">
        <w:rPr>
          <w:rFonts w:ascii="Times New Roman" w:hAnsi="Times New Roman" w:cs="Times New Roman"/>
          <w:b/>
          <w:sz w:val="24"/>
          <w:szCs w:val="24"/>
        </w:rPr>
        <w:t>Policy Evaluation and Impact</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While legislative and policy reforms have expanded the scope of child protection, outcomes are mixed. According to the Australian Institute of Health and Welfare (2023), substantiations of abuse have increased, but so too have repeat reports, suggesting sys</w:t>
      </w:r>
      <w:r>
        <w:rPr>
          <w:rFonts w:ascii="Times New Roman" w:hAnsi="Times New Roman" w:cs="Times New Roman"/>
          <w:sz w:val="24"/>
          <w:szCs w:val="24"/>
        </w:rPr>
        <w:t>temic issues remain unresolved.</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Evaluation studies call for greater investment in evidence-based interventions, such as home-visiting programs, parenting education, and trauma-informed care (Price-Robertson &amp; Bromfield, 2011). Additionally, longitudinal research and real-time data systems are essential for policy mo</w:t>
      </w:r>
      <w:r>
        <w:rPr>
          <w:rFonts w:ascii="Times New Roman" w:hAnsi="Times New Roman" w:cs="Times New Roman"/>
          <w:sz w:val="24"/>
          <w:szCs w:val="24"/>
        </w:rPr>
        <w:t>nitoring and adaptive learning.</w:t>
      </w:r>
    </w:p>
    <w:p w:rsidR="001449A8" w:rsidRPr="001449A8" w:rsidRDefault="001449A8" w:rsidP="001449A8">
      <w:pPr>
        <w:spacing w:before="100" w:beforeAutospacing="1" w:after="100" w:afterAutospacing="1" w:line="480" w:lineRule="auto"/>
        <w:ind w:firstLine="720"/>
        <w:contextualSpacing/>
        <w:jc w:val="center"/>
        <w:rPr>
          <w:rFonts w:ascii="Times New Roman" w:hAnsi="Times New Roman" w:cs="Times New Roman"/>
          <w:b/>
          <w:sz w:val="24"/>
          <w:szCs w:val="24"/>
        </w:rPr>
      </w:pPr>
      <w:r w:rsidRPr="001449A8">
        <w:rPr>
          <w:rFonts w:ascii="Times New Roman" w:hAnsi="Times New Roman" w:cs="Times New Roman"/>
          <w:b/>
          <w:sz w:val="24"/>
          <w:szCs w:val="24"/>
        </w:rPr>
        <w:t>Recommendations</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t>To strengthen Australia’s child protection system, this paper recommends:</w:t>
      </w:r>
    </w:p>
    <w:p w:rsidR="001449A8" w:rsidRPr="001449A8" w:rsidRDefault="001449A8" w:rsidP="001449A8">
      <w:pPr>
        <w:pStyle w:val="ListParagraph"/>
        <w:numPr>
          <w:ilvl w:val="0"/>
          <w:numId w:val="5"/>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Greater investment in prevention and early intervention, especially in high-risk communities.</w:t>
      </w:r>
    </w:p>
    <w:p w:rsidR="001449A8" w:rsidRPr="001449A8" w:rsidRDefault="001449A8" w:rsidP="001449A8">
      <w:pPr>
        <w:pStyle w:val="ListParagraph"/>
        <w:numPr>
          <w:ilvl w:val="0"/>
          <w:numId w:val="5"/>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Sustained support for Indigenous-led organizations to design and deliver culturally appropriate services.</w:t>
      </w:r>
    </w:p>
    <w:p w:rsidR="001449A8" w:rsidRPr="001449A8" w:rsidRDefault="001449A8" w:rsidP="001449A8">
      <w:pPr>
        <w:pStyle w:val="ListParagraph"/>
        <w:numPr>
          <w:ilvl w:val="0"/>
          <w:numId w:val="5"/>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Improved national coordination with uniform terminology, data systems, and professional standards.</w:t>
      </w:r>
    </w:p>
    <w:p w:rsidR="001449A8" w:rsidRPr="001449A8" w:rsidRDefault="001449A8" w:rsidP="001449A8">
      <w:pPr>
        <w:pStyle w:val="ListParagraph"/>
        <w:numPr>
          <w:ilvl w:val="0"/>
          <w:numId w:val="5"/>
        </w:numPr>
        <w:spacing w:before="100" w:beforeAutospacing="1" w:after="100" w:afterAutospacing="1" w:line="480" w:lineRule="auto"/>
        <w:rPr>
          <w:rFonts w:ascii="Times New Roman" w:hAnsi="Times New Roman" w:cs="Times New Roman"/>
          <w:sz w:val="24"/>
          <w:szCs w:val="24"/>
        </w:rPr>
      </w:pPr>
      <w:r w:rsidRPr="001449A8">
        <w:rPr>
          <w:rFonts w:ascii="Times New Roman" w:hAnsi="Times New Roman" w:cs="Times New Roman"/>
          <w:sz w:val="24"/>
          <w:szCs w:val="24"/>
        </w:rPr>
        <w:t>Ongoing professional development for child protection workers in trauma-informed, culturally responsive, and ethical practice.</w:t>
      </w:r>
    </w:p>
    <w:p w:rsidR="001449A8" w:rsidRPr="001449A8" w:rsidRDefault="001449A8" w:rsidP="001449A8">
      <w:pPr>
        <w:spacing w:before="100" w:beforeAutospacing="1" w:after="100" w:afterAutospacing="1" w:line="480" w:lineRule="auto"/>
        <w:contextualSpacing/>
        <w:jc w:val="center"/>
        <w:rPr>
          <w:rFonts w:ascii="Times New Roman" w:hAnsi="Times New Roman" w:cs="Times New Roman"/>
          <w:b/>
          <w:sz w:val="24"/>
          <w:szCs w:val="24"/>
        </w:rPr>
      </w:pPr>
      <w:r w:rsidRPr="001449A8">
        <w:rPr>
          <w:rFonts w:ascii="Times New Roman" w:hAnsi="Times New Roman" w:cs="Times New Roman"/>
          <w:b/>
          <w:sz w:val="24"/>
          <w:szCs w:val="24"/>
        </w:rPr>
        <w:t>Conclusion</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r w:rsidRPr="001449A8">
        <w:rPr>
          <w:rFonts w:ascii="Times New Roman" w:hAnsi="Times New Roman" w:cs="Times New Roman"/>
          <w:sz w:val="24"/>
          <w:szCs w:val="24"/>
        </w:rPr>
        <w:lastRenderedPageBreak/>
        <w:t>Australia’s child protection landscape has come a long way—from institutional and reactive approaches to more preventative, child-centered, and collaborative strategies. However, progress has been uneven, and key challenges such as Indigenous overrepresentation, workforce limitations, and system fragmentation remain. A child-safe Australia requires not only robust laws but also sustained political will, adequate funding, and meaningful collaboration with children, families, and communities. By learning from past failures and investing in strengths-based and culturally grounded approaches, Australia can continue to build a more just and protective environment for all children.</w:t>
      </w:r>
    </w:p>
    <w:p w:rsidR="001449A8" w:rsidRPr="001449A8" w:rsidRDefault="001449A8" w:rsidP="001449A8">
      <w:pPr>
        <w:spacing w:before="100" w:beforeAutospacing="1" w:after="100" w:afterAutospacing="1" w:line="480" w:lineRule="auto"/>
        <w:ind w:firstLine="720"/>
        <w:contextualSpacing/>
        <w:rPr>
          <w:rFonts w:ascii="Times New Roman" w:hAnsi="Times New Roman" w:cs="Times New Roman"/>
          <w:sz w:val="24"/>
          <w:szCs w:val="24"/>
        </w:rPr>
      </w:pPr>
    </w:p>
    <w:p w:rsidR="001449A8" w:rsidRDefault="001449A8">
      <w:pPr>
        <w:rPr>
          <w:rFonts w:ascii="Times New Roman" w:hAnsi="Times New Roman" w:cs="Times New Roman"/>
          <w:sz w:val="24"/>
          <w:szCs w:val="24"/>
        </w:rPr>
      </w:pPr>
      <w:r>
        <w:rPr>
          <w:rFonts w:ascii="Times New Roman" w:hAnsi="Times New Roman" w:cs="Times New Roman"/>
          <w:sz w:val="24"/>
          <w:szCs w:val="24"/>
        </w:rPr>
        <w:br w:type="page"/>
      </w:r>
    </w:p>
    <w:p w:rsidR="001449A8" w:rsidRPr="001449A8" w:rsidRDefault="001449A8" w:rsidP="001449A8">
      <w:pPr>
        <w:spacing w:before="100" w:beforeAutospacing="1" w:after="100" w:afterAutospacing="1" w:line="480" w:lineRule="auto"/>
        <w:ind w:firstLine="720"/>
        <w:contextualSpacing/>
        <w:jc w:val="center"/>
        <w:rPr>
          <w:rFonts w:ascii="Times New Roman" w:hAnsi="Times New Roman" w:cs="Times New Roman"/>
          <w:sz w:val="24"/>
          <w:szCs w:val="24"/>
        </w:rPr>
      </w:pPr>
      <w:r w:rsidRPr="001449A8">
        <w:rPr>
          <w:rFonts w:ascii="Times New Roman" w:hAnsi="Times New Roman" w:cs="Times New Roman"/>
          <w:sz w:val="24"/>
          <w:szCs w:val="24"/>
        </w:rPr>
        <w:lastRenderedPageBreak/>
        <w:t>References</w:t>
      </w:r>
    </w:p>
    <w:p w:rsidR="001449A8"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AIHW. (2023). Child protection Australia 2021–22. Australian Institute of Health and Welfare.</w:t>
      </w:r>
    </w:p>
    <w:p w:rsidR="001449A8"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Australian Institute of Family Studies. (2015). Child protection and out-of-home care.</w:t>
      </w:r>
    </w:p>
    <w:p w:rsidR="001449A8"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COAG. (2009). Protecting children is everyone’s business: National framework for protecting Australia’s children 2009–2020.</w:t>
      </w:r>
    </w:p>
    <w:p w:rsidR="001449A8"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Deloitte Access Economics. (2015). Final evaluation of the national framework.</w:t>
      </w:r>
    </w:p>
    <w:p w:rsidR="001449A8"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Fernandez, E., &amp; Lee, J.-S. (2017). Child protection and out-of-home care: Policy and practice.</w:t>
      </w:r>
    </w:p>
    <w:p w:rsidR="001449A8"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Healy, K., &amp; Meagher, G. (2007). Social workers’ preparation for child protection: Revisiting the question of specialisation.</w:t>
      </w:r>
    </w:p>
    <w:p w:rsidR="001449A8"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Mathews, B. (2014). Mandatory reporting laws and the identification of severe child abuse. Child Abuse &amp; Neglect, 38(5), 745–757.</w:t>
      </w:r>
    </w:p>
    <w:p w:rsidR="001449A8"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Price-Robertson, R., &amp; Bromfield, L. (2011). Risk assessment in child protection. AIFS.</w:t>
      </w:r>
    </w:p>
    <w:p w:rsidR="001449A8"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Royal Commission into Institutional Responses to Child Sexual Abuse. (2017). Final Report.</w:t>
      </w:r>
    </w:p>
    <w:p w:rsidR="001449A8"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Scott, D., &amp; Swain, S. (2002). Confronting cruelty: Historical perspectives on child protection in Australia.</w:t>
      </w:r>
    </w:p>
    <w:p w:rsidR="001449A8"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SNAICC. (2019). Family matters report.</w:t>
      </w:r>
    </w:p>
    <w:p w:rsidR="001449A8"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Swain, S. (2014). History of child protection legislation.</w:t>
      </w:r>
    </w:p>
    <w:p w:rsidR="001449A8"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Tilbury, C. (2009). The over-representation of Indigenous children in the Australian child welfare system. International Journal of Social Welfare, 18(1), 57–64.</w:t>
      </w:r>
    </w:p>
    <w:p w:rsidR="00D64D7E" w:rsidRPr="001449A8" w:rsidRDefault="001449A8" w:rsidP="001449A8">
      <w:pPr>
        <w:spacing w:before="100" w:beforeAutospacing="1" w:after="100" w:afterAutospacing="1" w:line="480" w:lineRule="auto"/>
        <w:ind w:left="720" w:hanging="720"/>
        <w:contextualSpacing/>
        <w:rPr>
          <w:rFonts w:ascii="Times New Roman" w:hAnsi="Times New Roman" w:cs="Times New Roman"/>
          <w:sz w:val="24"/>
          <w:szCs w:val="24"/>
        </w:rPr>
      </w:pPr>
      <w:r w:rsidRPr="001449A8">
        <w:rPr>
          <w:rFonts w:ascii="Times New Roman" w:hAnsi="Times New Roman" w:cs="Times New Roman"/>
          <w:sz w:val="24"/>
          <w:szCs w:val="24"/>
        </w:rPr>
        <w:t>Tomison, A. M. (2001). Child protection: Evolution and innovations. AIFS.</w:t>
      </w:r>
    </w:p>
    <w:sectPr w:rsidR="00D64D7E" w:rsidRPr="001449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315" w:rsidRDefault="004D3315" w:rsidP="001449A8">
      <w:pPr>
        <w:spacing w:after="0" w:line="240" w:lineRule="auto"/>
      </w:pPr>
      <w:r>
        <w:separator/>
      </w:r>
    </w:p>
  </w:endnote>
  <w:endnote w:type="continuationSeparator" w:id="0">
    <w:p w:rsidR="004D3315" w:rsidRDefault="004D3315" w:rsidP="00144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315" w:rsidRDefault="004D3315" w:rsidP="001449A8">
      <w:pPr>
        <w:spacing w:after="0" w:line="240" w:lineRule="auto"/>
      </w:pPr>
      <w:r>
        <w:separator/>
      </w:r>
    </w:p>
  </w:footnote>
  <w:footnote w:type="continuationSeparator" w:id="0">
    <w:p w:rsidR="004D3315" w:rsidRDefault="004D3315" w:rsidP="001449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41050"/>
      <w:docPartObj>
        <w:docPartGallery w:val="Page Numbers (Top of Page)"/>
        <w:docPartUnique/>
      </w:docPartObj>
    </w:sdtPr>
    <w:sdtEndPr>
      <w:rPr>
        <w:noProof/>
      </w:rPr>
    </w:sdtEndPr>
    <w:sdtContent>
      <w:p w:rsidR="001449A8" w:rsidRDefault="001449A8">
        <w:pPr>
          <w:pStyle w:val="Header"/>
          <w:jc w:val="right"/>
        </w:pPr>
        <w:r>
          <w:fldChar w:fldCharType="begin"/>
        </w:r>
        <w:r>
          <w:instrText xml:space="preserve"> PAGE   \* MERGEFORMAT </w:instrText>
        </w:r>
        <w:r>
          <w:fldChar w:fldCharType="separate"/>
        </w:r>
        <w:r w:rsidR="00594601">
          <w:rPr>
            <w:noProof/>
          </w:rPr>
          <w:t>8</w:t>
        </w:r>
        <w:r>
          <w:rPr>
            <w:noProof/>
          </w:rPr>
          <w:fldChar w:fldCharType="end"/>
        </w:r>
      </w:p>
    </w:sdtContent>
  </w:sdt>
  <w:p w:rsidR="001449A8" w:rsidRDefault="001449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451A6"/>
    <w:multiLevelType w:val="hybridMultilevel"/>
    <w:tmpl w:val="1A8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4205C"/>
    <w:multiLevelType w:val="hybridMultilevel"/>
    <w:tmpl w:val="A0B2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C3F85"/>
    <w:multiLevelType w:val="hybridMultilevel"/>
    <w:tmpl w:val="0A70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42BC1"/>
    <w:multiLevelType w:val="hybridMultilevel"/>
    <w:tmpl w:val="892E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44A10"/>
    <w:multiLevelType w:val="hybridMultilevel"/>
    <w:tmpl w:val="28FC9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DD77CF"/>
    <w:multiLevelType w:val="hybridMultilevel"/>
    <w:tmpl w:val="38C8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9A8"/>
    <w:rsid w:val="001449A8"/>
    <w:rsid w:val="004D3315"/>
    <w:rsid w:val="00594601"/>
    <w:rsid w:val="00D6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A637D-C546-4CCF-AFF5-71B8E818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9A8"/>
    <w:pPr>
      <w:ind w:left="720"/>
      <w:contextualSpacing/>
    </w:pPr>
  </w:style>
  <w:style w:type="paragraph" w:styleId="Header">
    <w:name w:val="header"/>
    <w:basedOn w:val="Normal"/>
    <w:link w:val="HeaderChar"/>
    <w:uiPriority w:val="99"/>
    <w:unhideWhenUsed/>
    <w:rsid w:val="00144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9A8"/>
  </w:style>
  <w:style w:type="paragraph" w:styleId="Footer">
    <w:name w:val="footer"/>
    <w:basedOn w:val="Normal"/>
    <w:link w:val="FooterChar"/>
    <w:uiPriority w:val="99"/>
    <w:unhideWhenUsed/>
    <w:rsid w:val="00144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2025-07-15T09:08:00Z</dcterms:created>
  <dcterms:modified xsi:type="dcterms:W3CDTF">2025-07-15T09:36:00Z</dcterms:modified>
</cp:coreProperties>
</file>