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AD1457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员工手册（模板）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EMPLOYEE HANDBOOK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7A3A5A"/>
          <w:sz w:val="21"/>
        </w:rPr>
        <w:t>版本：V1.0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7A3A5A"/>
          <w:sz w:val="21"/>
        </w:rPr>
        <w:t>生效日期：____年____月____日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7A3A5A"/>
          <w:sz w:val="21"/>
        </w:rPr>
        <w:t>制定部门：人力资源部</w:t>
      </w:r>
    </w:p>
    <w:p>
      <w:pPr>
        <w:spacing w:before="320" w:after="160" w:line="276" w:lineRule="auto"/>
        <w:pBdr>
          <w:bottom w:val="single" w:sz="8" w:space="4" w:color="D81B60"/>
        </w:pBdr>
      </w:pPr>
      <w:r>
        <w:rPr>
          <w:rFonts w:ascii="Arial" w:hAnsi="Arial" w:eastAsia="微软雅黑"/>
          <w:b/>
          <w:i w:val="0"/>
          <w:color w:val="D81B60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AD1457"/>
          <w:sz w:val="30"/>
        </w:rPr>
        <w:t>第一章 总则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81B60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本手册适用于公司全体正式及试用期员工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81B60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旨在明确行为规范与权利义务，营造健康职场环境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81B60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最终解释权归人力资源部所有</w:t>
      </w:r>
    </w:p>
    <w:p>
      <w:pPr>
        <w:spacing w:before="320" w:after="160" w:line="276" w:lineRule="auto"/>
        <w:pBdr>
          <w:bottom w:val="single" w:sz="8" w:space="4" w:color="D81B60"/>
        </w:pBdr>
      </w:pPr>
      <w:r>
        <w:rPr>
          <w:rFonts w:ascii="Arial" w:hAnsi="Arial" w:eastAsia="微软雅黑"/>
          <w:b/>
          <w:i w:val="0"/>
          <w:color w:val="D81B60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AD1457"/>
          <w:sz w:val="30"/>
        </w:rPr>
        <w:t>第二章 考勤制度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81B60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工作时间：____ 至 ____，午休 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81B60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迟到/早退 ____ 分钟内计 ____，旷工按 ____ 处理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81B60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请假须按流程审批并存档</w:t>
      </w:r>
    </w:p>
    <w:p>
      <w:pPr>
        <w:spacing w:before="320" w:after="160" w:line="276" w:lineRule="auto"/>
        <w:pBdr>
          <w:bottom w:val="single" w:sz="8" w:space="4" w:color="D81B60"/>
        </w:pBdr>
      </w:pPr>
      <w:r>
        <w:rPr>
          <w:rFonts w:ascii="Arial" w:hAnsi="Arial" w:eastAsia="微软雅黑"/>
          <w:b/>
          <w:i w:val="0"/>
          <w:color w:val="D81B60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AD1457"/>
          <w:sz w:val="30"/>
        </w:rPr>
        <w:t>第三章 薪酬福利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81B60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薪酬于每月 ____ 日发放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81B60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享法定节假日、带薪年假及节日福利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81B60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五险一金按当地政策缴纳</w:t>
      </w:r>
    </w:p>
    <w:p>
      <w:pPr>
        <w:spacing w:before="320" w:after="160" w:line="276" w:lineRule="auto"/>
        <w:pBdr>
          <w:bottom w:val="single" w:sz="8" w:space="4" w:color="D81B60"/>
        </w:pBdr>
      </w:pPr>
      <w:r>
        <w:rPr>
          <w:rFonts w:ascii="Arial" w:hAnsi="Arial" w:eastAsia="微软雅黑"/>
          <w:b/>
          <w:i w:val="0"/>
          <w:color w:val="D81B60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AD1457"/>
          <w:sz w:val="30"/>
        </w:rPr>
        <w:t>第四章 行为规范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81B60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爱护公司财物，保守商业秘密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81B60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尊重同事，禁止职场骚扰与歧视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81B60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遵守信息安全与数据合规要求</w:t>
      </w:r>
    </w:p>
    <w:p>
      <w:pPr>
        <w:spacing w:before="320" w:after="160" w:line="276" w:lineRule="auto"/>
        <w:pBdr>
          <w:bottom w:val="single" w:sz="8" w:space="4" w:color="D81B60"/>
        </w:pBdr>
      </w:pPr>
      <w:r>
        <w:rPr>
          <w:rFonts w:ascii="Arial" w:hAnsi="Arial" w:eastAsia="微软雅黑"/>
          <w:b/>
          <w:i w:val="0"/>
          <w:color w:val="D81B60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AD1457"/>
          <w:sz w:val="30"/>
        </w:rPr>
        <w:t>附则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color="auto" w:fill="F6D9E5"/>
          </w:tcPr>
          <w:p>
            <w:pPr>
              <w:pBdr>
                <w:left w:val="single" w:sz="36" w:space="8" w:color="D81B60"/>
              </w:pBdr>
              <w:spacing w:before="120" w:after="120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1"/>
              </w:rPr>
              <w:t>本手册未尽事宜，按国家法律法规及公司最新通知执行。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7A3A5A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7A3A5A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7A3A5A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