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B23A30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季度工作报告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QUARTERLY REPORT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7A4A44"/>
          <w:sz w:val="21"/>
        </w:rPr>
        <w:t>部门：__________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7A4A44"/>
          <w:sz w:val="21"/>
        </w:rPr>
        <w:t>季度：20__ 年第 __ 季度</w:t>
      </w:r>
    </w:p>
    <w:p>
      <w:pPr>
        <w:spacing w:before="320" w:after="160" w:line="276" w:lineRule="auto"/>
        <w:pBdr>
          <w:bottom w:val="single" w:sz="8" w:space="4" w:color="D9534F"/>
        </w:pBdr>
      </w:pPr>
      <w:r>
        <w:rPr>
          <w:rFonts w:ascii="Arial" w:hAnsi="Arial" w:eastAsia="微软雅黑"/>
          <w:b/>
          <w:i w:val="0"/>
          <w:color w:val="D9534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B23A30"/>
          <w:sz w:val="30"/>
        </w:rPr>
        <w:t>季度综述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62626"/>
          <w:sz w:val="22"/>
        </w:rPr>
        <w:t>本季度围绕 ____ 目标推进，整体达成 ____，关键成绩如下。</w:t>
      </w:r>
    </w:p>
    <w:p>
      <w:pPr>
        <w:spacing w:before="320" w:after="160" w:line="276" w:lineRule="auto"/>
        <w:pBdr>
          <w:bottom w:val="single" w:sz="8" w:space="4" w:color="D9534F"/>
        </w:pBdr>
      </w:pPr>
      <w:r>
        <w:rPr>
          <w:rFonts w:ascii="Arial" w:hAnsi="Arial" w:eastAsia="微软雅黑"/>
          <w:b/>
          <w:i w:val="0"/>
          <w:color w:val="D9534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B23A30"/>
          <w:sz w:val="30"/>
        </w:rPr>
        <w:t>关键指标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B23A30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指标</w:t>
            </w:r>
          </w:p>
        </w:tc>
        <w:tc>
          <w:tcPr>
            <w:tcW w:type="dxa" w:w="2376"/>
            <w:shd w:val="clear" w:color="auto" w:fill="B23A30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Q目标</w:t>
            </w:r>
          </w:p>
        </w:tc>
        <w:tc>
          <w:tcPr>
            <w:tcW w:type="dxa" w:w="2376"/>
            <w:shd w:val="clear" w:color="auto" w:fill="B23A30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Q实际</w:t>
            </w:r>
          </w:p>
        </w:tc>
        <w:tc>
          <w:tcPr>
            <w:tcW w:type="dxa" w:w="2376"/>
            <w:shd w:val="clear" w:color="auto" w:fill="B23A30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同比</w:t>
            </w:r>
          </w:p>
        </w:tc>
      </w:tr>
      <w:tr>
        <w:tc>
          <w:tcPr>
            <w:tcW w:type="dxa" w:w="2376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营收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____%</w:t>
            </w:r>
          </w:p>
        </w:tc>
      </w:tr>
      <w:tr>
        <w:tc>
          <w:tcPr>
            <w:tcW w:type="dxa" w:w="2376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成本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____%</w:t>
            </w:r>
          </w:p>
        </w:tc>
      </w:tr>
      <w:tr>
        <w:tc>
          <w:tcPr>
            <w:tcW w:type="dxa" w:w="2376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满意度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____%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D9534F"/>
        </w:pBdr>
      </w:pPr>
      <w:r>
        <w:rPr>
          <w:rFonts w:ascii="Arial" w:hAnsi="Arial" w:eastAsia="微软雅黑"/>
          <w:b/>
          <w:i w:val="0"/>
          <w:color w:val="D9534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B23A30"/>
          <w:sz w:val="30"/>
        </w:rPr>
        <w:t>亮点与不足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9534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亮点：____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9534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不足：____，根因 ____</w:t>
      </w:r>
    </w:p>
    <w:p>
      <w:pPr>
        <w:spacing w:before="320" w:after="160" w:line="276" w:lineRule="auto"/>
        <w:pBdr>
          <w:bottom w:val="single" w:sz="8" w:space="4" w:color="D9534F"/>
        </w:pBdr>
      </w:pPr>
      <w:r>
        <w:rPr>
          <w:rFonts w:ascii="Arial" w:hAnsi="Arial" w:eastAsia="微软雅黑"/>
          <w:b/>
          <w:i w:val="0"/>
          <w:color w:val="D9534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B23A30"/>
          <w:sz w:val="30"/>
        </w:rPr>
        <w:t>下季度规划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9534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战略重点：____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9534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资源投入：____</w:t>
      </w: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7A4A44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7A4A44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7A4A44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