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2C3E50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培训实施方案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TRAINING PLAN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B08D57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E6B78"/>
          <w:sz w:val="21"/>
        </w:rPr>
        <w:t>培训主题：__________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E6B78"/>
          <w:sz w:val="21"/>
        </w:rPr>
        <w:t>组织部门：__________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E6B78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一、培训目标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知识目标：____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技能目标：____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态度目标：____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二、课程安排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2C3E5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模块</w:t>
            </w:r>
          </w:p>
        </w:tc>
        <w:tc>
          <w:tcPr>
            <w:tcW w:type="dxa" w:w="2376"/>
            <w:shd w:val="clear" w:color="auto" w:fill="2C3E5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  <w:tc>
          <w:tcPr>
            <w:tcW w:type="dxa" w:w="2376"/>
            <w:shd w:val="clear" w:color="auto" w:fill="2C3E5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时长</w:t>
            </w:r>
          </w:p>
        </w:tc>
        <w:tc>
          <w:tcPr>
            <w:tcW w:type="dxa" w:w="2376"/>
            <w:shd w:val="clear" w:color="auto" w:fill="2C3E5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讲师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模块一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模块二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三、考核方式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考勤 ____% + 笔试 ____% + 实操 ____%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四、保障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场地 ____、设备 ____、预算 ____。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E6B78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E6B78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E6B7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